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sz w:val="36"/>
          <w:szCs w:val="36"/>
          <w:lang w:eastAsia="zh-CN"/>
        </w:rPr>
        <w:t>慈溪市大福涂料有限公司</w:t>
      </w:r>
    </w:p>
    <w:p>
      <w:pPr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" w:cs="Times New Roman"/>
          <w:b/>
          <w:bCs/>
          <w:sz w:val="36"/>
          <w:szCs w:val="36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sz w:val="36"/>
          <w:szCs w:val="36"/>
          <w:lang w:eastAsia="zh-CN"/>
        </w:rPr>
        <w:t>年产5000万套高档化妆品包装容器生产线项目</w:t>
      </w:r>
    </w:p>
    <w:p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" w:cs="Times New Roman"/>
          <w:b/>
          <w:bCs/>
          <w:sz w:val="36"/>
          <w:szCs w:val="36"/>
          <w:lang w:eastAsia="zh-CN"/>
        </w:rPr>
        <w:t>（第</w:t>
      </w:r>
      <w:r>
        <w:rPr>
          <w:rFonts w:hint="eastAsia" w:ascii="Times New Roman" w:hAnsi="Times New Roman" w:eastAsia="仿宋" w:cs="Times New Roman"/>
          <w:b/>
          <w:bCs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b/>
          <w:bCs/>
          <w:sz w:val="36"/>
          <w:szCs w:val="36"/>
          <w:lang w:eastAsia="zh-CN"/>
        </w:rPr>
        <w:t>阶段）</w:t>
      </w:r>
      <w:r>
        <w:rPr>
          <w:rFonts w:hint="default" w:ascii="Times New Roman" w:hAnsi="Times New Roman" w:eastAsia="仿宋" w:cs="Times New Roman"/>
          <w:b/>
          <w:bCs/>
          <w:sz w:val="36"/>
          <w:szCs w:val="36"/>
        </w:rPr>
        <w:t>竣工环境保护验</w:t>
      </w:r>
      <w:bookmarkStart w:id="0" w:name="_GoBack"/>
      <w:bookmarkEnd w:id="0"/>
      <w:r>
        <w:rPr>
          <w:rFonts w:hint="default" w:ascii="Times New Roman" w:hAnsi="Times New Roman" w:eastAsia="仿宋" w:cs="Times New Roman"/>
          <w:b/>
          <w:bCs/>
          <w:sz w:val="36"/>
          <w:szCs w:val="36"/>
        </w:rPr>
        <w:t>收意见</w:t>
      </w:r>
    </w:p>
    <w:p>
      <w:pPr>
        <w:adjustRightInd w:val="0"/>
        <w:snapToGrid w:val="0"/>
        <w:spacing w:line="360" w:lineRule="auto"/>
        <w:rPr>
          <w:rFonts w:hint="default" w:ascii="Times New Roman" w:hAnsi="Times New Roman" w:eastAsia="仿宋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jc w:val="lef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日，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慈溪市大福涂料有限公司</w:t>
      </w:r>
      <w:r>
        <w:rPr>
          <w:rFonts w:hint="default" w:ascii="Times New Roman" w:hAnsi="Times New Roman" w:eastAsia="仿宋" w:cs="Times New Roman"/>
          <w:sz w:val="28"/>
          <w:szCs w:val="28"/>
        </w:rPr>
        <w:t>根据《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慈溪市大福涂料有限公司年产5000万套高档化妆品包装容器生产线项目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第二阶段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28"/>
          <w:szCs w:val="28"/>
        </w:rPr>
        <w:t>竣工环境保护验收监测报告》并对照《建设项目竣工环境保护验收暂行办法》，严格依照国家有关法律法规、建设项目竣工环境保护验收技术规范/指南、本项目环境影响评价报告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书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和审批部门审批决定等要求对本项目进行验收，提出意见如下：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工程建设基本情况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420" w:firstLineChars="1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（一）建设地点、规模、主要建设内容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慈溪市大福涂料有限公司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</w:rPr>
        <w:t>位于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慈溪市掌起工业区北二环路61号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</w:rPr>
        <w:t>，是一家专业从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事高档化妆品包装容器生产的企业。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</w:rPr>
        <w:t>企业拟投资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</w:rPr>
        <w:t>00万元，购置位于慈溪市掌起工业区北二环路61号的已建厂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房，新增注塑机、全自动喷涂线等设备，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建设2条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全自动内涂线和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3条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全自动外涂线，实施年产5000万套高档化妆品包装容器生产线项目。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kern w:val="0"/>
          <w:sz w:val="28"/>
          <w:szCs w:val="28"/>
        </w:rPr>
        <w:t>企业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第一阶段实际投资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300万元，建设1条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全自动内涂线和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1条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全自动外涂线，第一阶段生产规模为年产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000万套高档化妆品包装容器，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已于2021年2月完成自主验收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现企业第二阶段投资100万元，建设完成1条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全自动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外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涂线，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第二阶段生产规模为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年产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15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00万套高档化妆品包装容器。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本项目用水主要为生产用水和生活用水，由市政自来水供水管网接至项目区内。本项目排水实行雨污分流。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生活污水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经化粪池预处理后排入市政污水管网，然后送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  <w:lang w:eastAsia="zh-CN"/>
        </w:rPr>
        <w:t>慈溪市东部污水处理厂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处理；项目生产废水为喷台水帘废水，喷淋塔更换废水，汇总后经厂区自建污水处理站处理后纳管排放。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420" w:firstLineChars="1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（二）建设过程及环保审批情况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公司于201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月委托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  <w:lang w:eastAsia="zh-CN"/>
        </w:rPr>
        <w:t>浙江瀚邦环保科技有限公司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进行了《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慈溪市大福涂料有限公司年产5000万套高档化妆品包装容器生产线项目环境影响报告书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》，并于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2020年2月4日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获得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宁波市生态环境局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的批复，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慈环建【2020】22号</w:t>
      </w: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。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2021年2月企业已完成第一阶段自主验收。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336" w:lineRule="auto"/>
        <w:ind w:left="0" w:leftChars="0" w:right="0" w:rightChars="0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对照《固定污染源排污许可分类管理名录（20</w:t>
      </w:r>
      <w:r>
        <w:rPr>
          <w:rFonts w:hint="eastAsia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年版）》，本项目属于</w:t>
      </w:r>
      <w:r>
        <w:rPr>
          <w:rFonts w:hint="eastAsia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“二十四、橡胶和塑料制品业”类别的“62塑料制品业”中“其他”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实施登记管理，已按要求进行排污登记（登记编号</w:t>
      </w:r>
      <w:r>
        <w:rPr>
          <w:rFonts w:hint="eastAsia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91330282084772146K）。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kern w:val="0"/>
          <w:sz w:val="28"/>
          <w:szCs w:val="28"/>
        </w:rPr>
        <w:t>（三）投资情况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本次验收的《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慈溪市大福涂料有限公司年产5000万套高档化妆品包装容器生产线项目</w:t>
      </w:r>
      <w:r>
        <w:rPr>
          <w:rFonts w:hint="default" w:ascii="Times New Roman" w:hAnsi="Times New Roman" w:eastAsia="仿宋" w:cs="Times New Roman"/>
          <w:sz w:val="28"/>
          <w:szCs w:val="28"/>
        </w:rPr>
        <w:t>》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eastAsia="zh-CN"/>
        </w:rPr>
        <w:t>第二阶段实际投资</w:t>
      </w:r>
      <w:r>
        <w:rPr>
          <w:rFonts w:hint="eastAsia" w:ascii="Times New Roman" w:hAnsi="Times New Roman" w:eastAsia="仿宋" w:cs="Times New Roman"/>
          <w:kern w:val="0"/>
          <w:sz w:val="28"/>
          <w:szCs w:val="28"/>
          <w:lang w:val="en-US" w:eastAsia="zh-CN"/>
        </w:rPr>
        <w:t>100万元，实际环保投资20万元</w:t>
      </w:r>
      <w:r>
        <w:rPr>
          <w:rFonts w:hint="default" w:ascii="Times New Roman" w:hAnsi="Times New Roman" w:eastAsia="仿宋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（四）验收范围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本次验收范围为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慈溪市大福涂料有限公司年产5000万套高档化妆品包装容器生产线项目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第二阶段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即年产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15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00万套高档化妆品包装容器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建设内容为1条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全自动外涂线</w:t>
      </w:r>
      <w:r>
        <w:rPr>
          <w:rFonts w:hint="default" w:ascii="Times New Roman" w:hAnsi="Times New Roman" w:eastAsia="仿宋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工程变动情况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经现场核查，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第二阶段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工程建设内容及加工能力与项目《环境影响报告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书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》及其批复基本一致，生产工艺及产能基本无变化。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三、环境保护设施建设情况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（一）废气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Times New Roman" w:hAnsi="Times New Roman" w:eastAsia="仿宋" w:cs="Times New Roman"/>
          <w:sz w:val="28"/>
          <w:szCs w:val="28"/>
        </w:rPr>
        <w:t>本项目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全自动外涂线经水帘除漆雾+水喷淋+过滤棉+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光催化氧化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+活性炭吸附处理后通过20米高排气筒排放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2、液化气燃烧废气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依托外涂线废气20米高排气筒排放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（二）废水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生活污水经化粪池预处理后纳入市政管网；项目生产废水为喷台水帘废水和喷淋塔更换废水，喷台水帘废水和喷淋废水循环使用，每半个月处理一次，汇总后经厂区自建污水处理站处理后达到《污水综合排放标准》（GB8978-1996）中的三级标准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，其中氨氮、总量达到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《工业企业废水氮、磷污染物间接排放限值》（DB33/887-2013）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标准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后纳管，送慈溪市东部污水处理厂处理达到《城镇污水处理厂污染物排放标准》（GB18918-2002)一级A标准及甬环发【2019】39号文件要求后排放。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（三）噪声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本工程的噪声源主要来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自</w:t>
      </w:r>
      <w:r>
        <w:rPr>
          <w:rFonts w:hint="default" w:ascii="Times New Roman" w:hAnsi="Times New Roman" w:eastAsia="仿宋" w:cs="Times New Roman"/>
          <w:sz w:val="28"/>
          <w:szCs w:val="28"/>
        </w:rPr>
        <w:t>各类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生产</w:t>
      </w:r>
      <w:r>
        <w:rPr>
          <w:rFonts w:hint="default" w:ascii="Times New Roman" w:hAnsi="Times New Roman" w:eastAsia="仿宋" w:cs="Times New Roman"/>
          <w:sz w:val="28"/>
          <w:szCs w:val="28"/>
        </w:rPr>
        <w:t>设备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和废水、废气处理风机</w:t>
      </w:r>
      <w:r>
        <w:rPr>
          <w:rFonts w:hint="default" w:ascii="Times New Roman" w:hAnsi="Times New Roman" w:eastAsia="仿宋" w:cs="Times New Roman"/>
          <w:sz w:val="28"/>
          <w:szCs w:val="28"/>
        </w:rPr>
        <w:t>，针对各类设备噪声，已采取了隔声、减振、消声等措施。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>（四）固体废物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本项目第二阶段投产后，固体废弃物主要为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废热转印膜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（暂未产生）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和烫金膜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废包装材料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废油漆桶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稀释剂桶、油墨桶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），含油墨废抹布，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漆渣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废过滤棉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废活性炭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脱水污泥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和生活垃圾。含油墨废抹布，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漆渣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废过滤棉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废活性炭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脱水污泥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，废包装材料（废涂料桶）收集后委托宁波大地化工环保有限公司无害化处理；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废热转印膜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（暂未产生）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和烫金膜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收集后外售，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生活垃圾委托环卫部门清运。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（五）辐射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本项目无辐射源。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其他环境保护设施</w:t>
      </w:r>
    </w:p>
    <w:p>
      <w:pPr>
        <w:spacing w:line="520" w:lineRule="exact"/>
        <w:ind w:left="420" w:leftChars="200"/>
        <w:rPr>
          <w:rFonts w:ascii="仿宋" w:hAnsi="仿宋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环境风险防范设施</w:t>
      </w:r>
    </w:p>
    <w:p>
      <w:pPr>
        <w:spacing w:line="360" w:lineRule="auto"/>
        <w:ind w:firstLine="560" w:firstLineChars="200"/>
        <w:jc w:val="both"/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28"/>
          <w:szCs w:val="28"/>
        </w:rPr>
        <w:t>企业已按要求编制了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突发</w:t>
      </w:r>
      <w:r>
        <w:rPr>
          <w:rFonts w:hint="eastAsia" w:ascii="仿宋" w:hAnsi="仿宋" w:eastAsia="仿宋" w:cs="仿宋"/>
          <w:sz w:val="28"/>
          <w:szCs w:val="28"/>
        </w:rPr>
        <w:t>环境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事件</w:t>
      </w:r>
      <w:r>
        <w:rPr>
          <w:rFonts w:hint="eastAsia" w:ascii="仿宋" w:hAnsi="仿宋" w:eastAsia="仿宋" w:cs="仿宋"/>
          <w:sz w:val="28"/>
          <w:szCs w:val="28"/>
        </w:rPr>
        <w:t>应急预案，并在宁波市生态环境局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慈溪</w:t>
      </w:r>
      <w:r>
        <w:rPr>
          <w:rFonts w:hint="eastAsia" w:ascii="仿宋" w:hAnsi="仿宋" w:eastAsia="仿宋" w:cs="仿宋"/>
          <w:sz w:val="28"/>
          <w:szCs w:val="28"/>
        </w:rPr>
        <w:t>分局备案，企业已基本落实相关环境风险防范措施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jc w:val="left"/>
        <w:textAlignment w:val="auto"/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在线监测装置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/>
        <w:jc w:val="lef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在线监测装置《项目环境影响报告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书</w:t>
      </w:r>
      <w:r>
        <w:rPr>
          <w:rFonts w:hint="default" w:ascii="Times New Roman" w:hAnsi="Times New Roman" w:eastAsia="仿宋" w:cs="Times New Roman"/>
          <w:sz w:val="28"/>
          <w:szCs w:val="28"/>
        </w:rPr>
        <w:t>》及批复未作要求。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、其他设施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环评及其批复未提出生态恢复工程、绿化工程、边坡防护工程等其他环境保护设施的落实情况。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四、环境保护设施调试效果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280" w:firstLineChars="1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（一）环保设施处理效率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本项目环评及批复中无环保设施处理效率要求。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36" w:lineRule="auto"/>
        <w:ind w:left="0" w:leftChars="0" w:right="0" w:rightChars="0" w:firstLine="280" w:firstLineChars="1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（二）污染物排放情况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浙江中一检测研究院股份有限公司于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2022年4月22日~4月23日，2022年5月12日~5月13日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对本项目进行了现场检测。根据出具的《浙江中一检测研究院股份有限公司监测报告（H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J221389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J22111801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J22111802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）》检测结果表明：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140" w:firstLineChars="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1、废水治理设施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验收监测期间，生产废水处理设施出口中pH值、悬浮物、化学需氧量、五日生化需氧量、石油类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、动植物油类</w:t>
      </w:r>
      <w:r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和阴离子洗涤剂排放均符合《污水综合排放标准》（GB8978-1996）表4中三级标准；氨氮和总磷符合浙江省地方标准《工业企业废水氮、磷污染物间接排放限值》（DB33/887-2013）。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验收监测期间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，综合</w:t>
      </w:r>
      <w:r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废水排放口中pH值、悬浮物、化学需氧量、五日生化需氧量、石油类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、动植物油类</w:t>
      </w:r>
      <w:r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和阴离子洗涤剂排放均符合《污水综合排放标准》（GB8978-1996）表4中三级标准；氨氮和总磷符合浙江省地方标准《工业企业废水氮、磷污染物间接排放限值》（DB33/887-2013）。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140" w:firstLineChars="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2、废气治理设施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（1）有组织废气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line="336" w:lineRule="auto"/>
        <w:ind w:left="0" w:leftChars="0" w:right="0" w:rightChars="0"/>
        <w:jc w:val="both"/>
        <w:textAlignment w:val="auto"/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验收监测期间，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全自动外涂线废气处理设施出口中乙酸甲酯、乙酸乙酯、乙酸丁酯、非甲烷总烃及二甲苯监测浓度均符合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《工业涂装工序大气污染物排放标准》（DB33/ 2146—2018）表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标准；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其中全自动外涂线废气处理设施出口中低浓度颗粒物、二氧化硫、氮氧化物监测浓度均符合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《工业炉窑大气污染综合治理方案》（环大气〔2019〕56号）中重点区域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控制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标准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336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（2）无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组织废气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336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验收监测期间，本项目无组织废气中总悬浮颗粒物符合《大气污染物综合排放标准》（GB16297-1996）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“新污染源大气污染物排放限值”二级标准；乙酸甲酯、乙酸乙酯、乙酸丁酯、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非甲烷总烃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、二甲苯、臭气浓度均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符合《工业涂装工序大气污染物排放标准》（DB33/ 2146—2018）表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6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标准。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336" w:lineRule="auto"/>
        <w:ind w:left="0" w:leftChars="0" w:right="0" w:rightChars="0"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（3）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车间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无组织废气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line="336" w:lineRule="auto"/>
        <w:ind w:left="0" w:leftChars="0" w:right="0" w:rightChars="0" w:firstLine="560" w:firstLineChars="200"/>
        <w:jc w:val="both"/>
        <w:textAlignment w:val="auto"/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验收监测期间，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本项目涂装车间门、窗外1m非甲烷总烃的一次值和小时值均符合</w:t>
      </w:r>
      <w:r>
        <w:rPr>
          <w:rFonts w:hint="default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《挥发性有机物无组织排放控制标准》（GB37822-2019）厂区内VOCs无组织排放限值中的特别排放限值</w:t>
      </w: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3、厂界噪声治理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根据监测结果，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慈溪市大福涂料有限公司</w:t>
      </w:r>
      <w:r>
        <w:rPr>
          <w:rFonts w:hint="default" w:ascii="Times New Roman" w:hAnsi="Times New Roman" w:eastAsia="仿宋" w:cs="Times New Roman"/>
          <w:sz w:val="28"/>
          <w:szCs w:val="28"/>
        </w:rPr>
        <w:t>厂界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四周</w:t>
      </w:r>
      <w:r>
        <w:rPr>
          <w:rFonts w:hint="default" w:ascii="Times New Roman" w:hAnsi="Times New Roman" w:eastAsia="仿宋" w:cs="Times New Roman"/>
          <w:sz w:val="28"/>
          <w:szCs w:val="28"/>
        </w:rPr>
        <w:t>昼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夜</w:t>
      </w:r>
      <w:r>
        <w:rPr>
          <w:rFonts w:hint="default" w:ascii="Times New Roman" w:hAnsi="Times New Roman" w:eastAsia="仿宋" w:cs="Times New Roman"/>
          <w:sz w:val="28"/>
          <w:szCs w:val="28"/>
        </w:rPr>
        <w:t>噪声均符合《工业企业厂界环境噪声排放标准》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28"/>
          <w:szCs w:val="28"/>
        </w:rPr>
        <w:t>GB 12348-2008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28"/>
          <w:szCs w:val="28"/>
        </w:rPr>
        <w:t>类标准。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4、固体废物治理设施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本项目第二阶段投产后，固体废弃物主要为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废热转印膜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（暂未产生）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和烫金膜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废包装材料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废油漆桶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稀释剂桶、油墨桶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），含油墨废抹布，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漆渣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废过滤棉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废活性炭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脱水污泥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和生活垃圾。含油墨废抹布，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漆渣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废过滤棉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废活性炭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脱水污泥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，废包装材料（废涂料桶）收集后委托宁波大地化工环保有限公司无害化处理；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废热转印膜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（暂未产生）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和烫金膜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收集后外售，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生活垃圾委托环卫部门清运。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5、辐射防护设施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本项目无辐射源。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420" w:firstLineChars="1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6、污染物排放总量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本项目环评批复未提出污染物排放总量控制指标。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工程建设对环境的影响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63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项目已按环保“三同时”要求落实了环境保护措施，经监测各类污染物均能做到达标排放，工程建设对环境的影响在可控制范围内。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六、验收结论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63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经现场查验，《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慈溪市大福涂料有限公司年产5000万套高档化妆品包装容器生产线项目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第二阶段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28"/>
          <w:szCs w:val="28"/>
        </w:rPr>
        <w:t>》环评手续齐备，主体工程和配套环保工程建设完备，项目建设内容与项目《环境影响评价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报告书</w:t>
      </w:r>
      <w:r>
        <w:rPr>
          <w:rFonts w:hint="default" w:ascii="Times New Roman" w:hAnsi="Times New Roman" w:eastAsia="仿宋" w:cs="Times New Roman"/>
          <w:sz w:val="28"/>
          <w:szCs w:val="28"/>
        </w:rPr>
        <w:t>》及其批复基本一致，已落实了环保“三同时”和《环境影响评价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报告书</w:t>
      </w:r>
      <w:r>
        <w:rPr>
          <w:rFonts w:hint="default" w:ascii="Times New Roman" w:hAnsi="Times New Roman" w:eastAsia="仿宋" w:cs="Times New Roman"/>
          <w:sz w:val="28"/>
          <w:szCs w:val="28"/>
        </w:rPr>
        <w:t>》及其批复提出的各项环保要求，竣工环保验收条件具备。验收资料完整齐全，污染物达标排放、环保设施有效运行的验收监测结论明确合理。验收工作组同意该项目通过竣工环境保护验收。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2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七、后续要求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63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、严格遵守环保法律法规，完善内部环保管理制度，强化从事环保工作人员业务培训，完善各项环境保护管理和监测制度，重点加强对污染治理设施的维护、管理及正常运行，确保各项污染物长期稳定达标排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63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2、进一步完善环保管理制度，规范危险废物暂存及管理。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63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eastAsia="仿宋" w:cs="Times New Roman"/>
          <w:sz w:val="28"/>
          <w:szCs w:val="28"/>
        </w:rPr>
        <w:t>加强厂区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废气</w:t>
      </w:r>
      <w:r>
        <w:rPr>
          <w:rFonts w:hint="default" w:ascii="Times New Roman" w:hAnsi="Times New Roman" w:eastAsia="仿宋" w:cs="Times New Roman"/>
          <w:sz w:val="28"/>
          <w:szCs w:val="28"/>
        </w:rPr>
        <w:t>处理设施建设和管理工作，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确保废气达标排放。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4、</w:t>
      </w:r>
      <w:r>
        <w:rPr>
          <w:rFonts w:hint="default" w:ascii="Times New Roman" w:hAnsi="Times New Roman" w:eastAsia="仿宋" w:cs="Times New Roman"/>
          <w:sz w:val="28"/>
          <w:szCs w:val="28"/>
        </w:rPr>
        <w:t>按竣工验收规范将竣工验收的相关内容和结论进行公示、公开。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八、验收人员信息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63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参加验收的单位及人员名单、验收负责人（建设单位）具体信息见附表：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/>
        <w:jc w:val="right"/>
        <w:textAlignment w:val="auto"/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慈溪市大福涂料有限公司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20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27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>
      <w:pPr>
        <w:rPr>
          <w:rFonts w:hint="default" w:ascii="Times New Roman" w:hAnsi="Times New Roman" w:eastAsia="仿宋" w:cs="Times New Roman"/>
        </w:rPr>
      </w:pPr>
    </w:p>
    <w:sectPr>
      <w:pgSz w:w="11906" w:h="16838"/>
      <w:pgMar w:top="1134" w:right="1701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94E52"/>
    <w:multiLevelType w:val="singleLevel"/>
    <w:tmpl w:val="59E94E52"/>
    <w:lvl w:ilvl="0" w:tentative="0">
      <w:start w:val="4"/>
      <w:numFmt w:val="chineseCounting"/>
      <w:suff w:val="nothing"/>
      <w:lvlText w:val="（%1）"/>
      <w:lvlJc w:val="left"/>
    </w:lvl>
  </w:abstractNum>
  <w:abstractNum w:abstractNumId="1">
    <w:nsid w:val="59E956C6"/>
    <w:multiLevelType w:val="singleLevel"/>
    <w:tmpl w:val="59E956C6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9E95CF0"/>
    <w:multiLevelType w:val="singleLevel"/>
    <w:tmpl w:val="59E95CF0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D778392"/>
    <w:multiLevelType w:val="singleLevel"/>
    <w:tmpl w:val="5D778392"/>
    <w:lvl w:ilvl="0" w:tentative="0">
      <w:start w:val="5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1NzgzZGVjYWY0ZDQxYWZjYjE3ZDc3YTk2NDIzYzIifQ=="/>
  </w:docVars>
  <w:rsids>
    <w:rsidRoot w:val="0036200A"/>
    <w:rsid w:val="000524B5"/>
    <w:rsid w:val="001613FD"/>
    <w:rsid w:val="0036200A"/>
    <w:rsid w:val="003C022A"/>
    <w:rsid w:val="0044570B"/>
    <w:rsid w:val="00673CA5"/>
    <w:rsid w:val="008272B9"/>
    <w:rsid w:val="008E6005"/>
    <w:rsid w:val="00933DE7"/>
    <w:rsid w:val="00974362"/>
    <w:rsid w:val="00A5268D"/>
    <w:rsid w:val="00AC038D"/>
    <w:rsid w:val="019F3042"/>
    <w:rsid w:val="041D7ED9"/>
    <w:rsid w:val="09C87552"/>
    <w:rsid w:val="110A6A86"/>
    <w:rsid w:val="26D570A0"/>
    <w:rsid w:val="27B43972"/>
    <w:rsid w:val="2C462E32"/>
    <w:rsid w:val="2FBC10CB"/>
    <w:rsid w:val="416D2E83"/>
    <w:rsid w:val="443B7B04"/>
    <w:rsid w:val="48AA3A29"/>
    <w:rsid w:val="4B0A716E"/>
    <w:rsid w:val="4B3312E3"/>
    <w:rsid w:val="50BE3FB7"/>
    <w:rsid w:val="54891856"/>
    <w:rsid w:val="59417368"/>
    <w:rsid w:val="5BFB591B"/>
    <w:rsid w:val="5C403B77"/>
    <w:rsid w:val="6CDF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szCs w:val="20"/>
    </w:rPr>
  </w:style>
  <w:style w:type="paragraph" w:customStyle="1" w:styleId="3">
    <w:name w:val="正文首行缩进2个字 Char"/>
    <w:basedOn w:val="1"/>
    <w:qFormat/>
    <w:uiPriority w:val="0"/>
    <w:pPr>
      <w:widowControl/>
      <w:ind w:firstLine="480" w:firstLineChars="200"/>
      <w:jc w:val="left"/>
    </w:pPr>
    <w:rPr>
      <w:rFonts w:ascii="宋体" w:hAnsi="宋体" w:eastAsia="楷体" w:cs="宋体"/>
      <w:color w:val="auto"/>
      <w:sz w:val="24"/>
    </w:rPr>
  </w:style>
  <w:style w:type="paragraph" w:styleId="4">
    <w:name w:val="annotation text"/>
    <w:basedOn w:val="1"/>
    <w:link w:val="12"/>
    <w:semiHidden/>
    <w:unhideWhenUsed/>
    <w:qFormat/>
    <w:uiPriority w:val="99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5">
    <w:name w:val="Block Text"/>
    <w:basedOn w:val="1"/>
    <w:semiHidden/>
    <w:unhideWhenUsed/>
    <w:qFormat/>
    <w:uiPriority w:val="99"/>
    <w:pPr>
      <w:spacing w:after="120"/>
      <w:ind w:left="1440" w:leftChars="700" w:right="1440" w:rightChars="700"/>
    </w:pPr>
  </w:style>
  <w:style w:type="paragraph" w:styleId="6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table" w:styleId="8">
    <w:name w:val="Table Grid"/>
    <w:basedOn w:val="7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qFormat/>
    <w:uiPriority w:val="0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Char"/>
    <w:basedOn w:val="9"/>
    <w:link w:val="4"/>
    <w:semiHidden/>
    <w:qFormat/>
    <w:uiPriority w:val="99"/>
  </w:style>
  <w:style w:type="character" w:customStyle="1" w:styleId="13">
    <w:name w:val="批注框文本 Char"/>
    <w:basedOn w:val="9"/>
    <w:link w:val="6"/>
    <w:semiHidden/>
    <w:qFormat/>
    <w:uiPriority w:val="99"/>
    <w:rPr>
      <w:rFonts w:ascii="Calibri" w:hAnsi="Calibri" w:eastAsia="宋体" w:cs="Calibri"/>
      <w:sz w:val="18"/>
      <w:szCs w:val="18"/>
    </w:rPr>
  </w:style>
  <w:style w:type="paragraph" w:customStyle="1" w:styleId="14">
    <w:name w:val="正文 首行缩进:  2 字符"/>
    <w:basedOn w:val="1"/>
    <w:qFormat/>
    <w:uiPriority w:val="0"/>
    <w:pPr>
      <w:tabs>
        <w:tab w:val="left" w:pos="5400"/>
      </w:tabs>
      <w:spacing w:before="60" w:line="460" w:lineRule="exact"/>
      <w:ind w:firstLine="480" w:firstLineChars="200"/>
    </w:pPr>
    <w:rPr>
      <w:rFonts w:ascii="Arial" w:hAnsi="Arial" w:eastAsia="Arial" w:cs="Arial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3354</Words>
  <Characters>3628</Characters>
  <Lines>17</Lines>
  <Paragraphs>5</Paragraphs>
  <TotalTime>4</TotalTime>
  <ScaleCrop>false</ScaleCrop>
  <LinksUpToDate>false</LinksUpToDate>
  <CharactersWithSpaces>3678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2019-07-11T06:30:00Z</dcterms:created>
  <dc:creator>PC</dc:creator>
  <cp:lastModifiedBy>Kevin王二一</cp:lastModifiedBy>
  <cp:lastPrinted>2021-02-22T05:05:00Z</cp:lastPrinted>
  <dcterms:modified xsi:type="dcterms:W3CDTF">2022-07-01T00:35:33Z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63BDE30CB9FD4D5F90066EC208C5C774</vt:lpwstr>
  </property>
</Properties>
</file>