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center"/>
        <w:rPr>
          <w:rFonts w:hint="default" w:ascii="Times New Roman" w:hAnsi="Times New Roman" w:eastAsia="仿宋" w:cs="Times New Roman"/>
          <w:b/>
          <w:bCs/>
          <w:sz w:val="36"/>
          <w:szCs w:val="36"/>
        </w:rPr>
      </w:pPr>
      <w:r>
        <w:rPr>
          <w:rFonts w:hint="eastAsia" w:ascii="Times New Roman" w:hAnsi="Times New Roman" w:eastAsia="仿宋" w:cs="Times New Roman"/>
          <w:b/>
          <w:bCs/>
          <w:sz w:val="36"/>
          <w:szCs w:val="36"/>
          <w:lang w:eastAsia="zh-CN"/>
        </w:rPr>
        <w:t>宁波宝丰冶金渣环保工程有限责任公司冶金渣综合利用技改项目</w:t>
      </w:r>
      <w:r>
        <w:rPr>
          <w:rFonts w:hint="default" w:ascii="Times New Roman" w:hAnsi="Times New Roman" w:eastAsia="仿宋" w:cs="Times New Roman"/>
          <w:b/>
          <w:bCs/>
          <w:sz w:val="36"/>
          <w:szCs w:val="36"/>
        </w:rPr>
        <w:t>竣工环境保护验收意见</w:t>
      </w:r>
    </w:p>
    <w:p>
      <w:pPr>
        <w:tabs>
          <w:tab w:val="left" w:pos="5556"/>
        </w:tabs>
        <w:adjustRightInd w:val="0"/>
        <w:snapToGrid w:val="0"/>
        <w:spacing w:line="520" w:lineRule="exact"/>
        <w:jc w:val="left"/>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ab/>
      </w:r>
    </w:p>
    <w:p>
      <w:pPr>
        <w:adjustRightInd w:val="0"/>
        <w:snapToGrid w:val="0"/>
        <w:spacing w:line="520" w:lineRule="exact"/>
        <w:ind w:firstLine="560" w:firstLineChars="200"/>
        <w:jc w:val="left"/>
        <w:rPr>
          <w:rFonts w:hint="default" w:ascii="Times New Roman" w:hAnsi="Times New Roman" w:eastAsia="仿宋" w:cs="Times New Roman"/>
          <w:sz w:val="28"/>
          <w:szCs w:val="28"/>
        </w:rPr>
      </w:pPr>
      <w:r>
        <w:rPr>
          <w:rFonts w:hint="default" w:ascii="Times New Roman" w:hAnsi="Times New Roman" w:eastAsia="仿宋" w:cs="Times New Roman"/>
          <w:color w:val="000000" w:themeColor="text1"/>
          <w:sz w:val="28"/>
          <w:szCs w:val="28"/>
          <w:lang w:eastAsia="zh-CN"/>
          <w14:textFill>
            <w14:solidFill>
              <w14:schemeClr w14:val="tx1"/>
            </w14:solidFill>
          </w14:textFill>
        </w:rPr>
        <w:t>2022年0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lang w:eastAsia="zh-CN"/>
          <w14:textFill>
            <w14:solidFill>
              <w14:schemeClr w14:val="tx1"/>
            </w14:solidFill>
          </w14:textFill>
        </w:rPr>
        <w:t>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24</w:t>
      </w:r>
      <w:r>
        <w:rPr>
          <w:rFonts w:hint="default" w:ascii="Times New Roman" w:hAnsi="Times New Roman" w:eastAsia="仿宋" w:cs="Times New Roman"/>
          <w:color w:val="000000" w:themeColor="text1"/>
          <w:sz w:val="28"/>
          <w:szCs w:val="28"/>
          <w:lang w:eastAsia="zh-CN"/>
          <w14:textFill>
            <w14:solidFill>
              <w14:schemeClr w14:val="tx1"/>
            </w14:solidFill>
          </w14:textFill>
        </w:rPr>
        <w:t>日</w:t>
      </w:r>
      <w:r>
        <w:rPr>
          <w:rFonts w:hint="default"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宁波宝丰冶金渣环保工程有限责任公司</w:t>
      </w:r>
      <w:r>
        <w:rPr>
          <w:rFonts w:hint="default" w:ascii="Times New Roman" w:hAnsi="Times New Roman" w:eastAsia="仿宋" w:cs="Times New Roman"/>
          <w:sz w:val="28"/>
          <w:szCs w:val="28"/>
        </w:rPr>
        <w:t>根据《</w:t>
      </w:r>
      <w:r>
        <w:rPr>
          <w:rFonts w:hint="eastAsia" w:ascii="Times New Roman" w:hAnsi="Times New Roman" w:eastAsia="仿宋" w:cs="Times New Roman"/>
          <w:sz w:val="28"/>
          <w:szCs w:val="28"/>
          <w:lang w:eastAsia="zh-CN"/>
        </w:rPr>
        <w:t>宁波宝丰冶金渣环保工程有限责任公司冶金渣综合利用技改项目</w:t>
      </w:r>
      <w:r>
        <w:rPr>
          <w:rFonts w:hint="default" w:ascii="Times New Roman" w:hAnsi="Times New Roman" w:eastAsia="仿宋" w:cs="Times New Roman"/>
          <w:sz w:val="28"/>
          <w:szCs w:val="28"/>
        </w:rPr>
        <w:t>竣工环境保护验收监测报告》并对照《建设项目竣工环境保护验收暂行办法》，严格依照国家有关法律法规、建设项目竣工环境保护验收技术规范/指南、本项目环境影响评价</w:t>
      </w:r>
      <w:r>
        <w:rPr>
          <w:rFonts w:hint="eastAsia" w:ascii="Times New Roman" w:hAnsi="Times New Roman" w:eastAsia="仿宋" w:cs="Times New Roman"/>
          <w:sz w:val="28"/>
          <w:szCs w:val="28"/>
          <w:lang w:val="en-US" w:eastAsia="zh-CN"/>
        </w:rPr>
        <w:t>报告表</w:t>
      </w:r>
      <w:r>
        <w:rPr>
          <w:rFonts w:hint="default" w:ascii="Times New Roman" w:hAnsi="Times New Roman" w:eastAsia="仿宋" w:cs="Times New Roman"/>
          <w:sz w:val="28"/>
          <w:szCs w:val="28"/>
        </w:rPr>
        <w:t>和审批部门审</w:t>
      </w:r>
      <w:bookmarkStart w:id="1" w:name="_GoBack"/>
      <w:bookmarkEnd w:id="1"/>
      <w:r>
        <w:rPr>
          <w:rFonts w:hint="default" w:ascii="Times New Roman" w:hAnsi="Times New Roman" w:eastAsia="仿宋" w:cs="Times New Roman"/>
          <w:sz w:val="28"/>
          <w:szCs w:val="28"/>
        </w:rPr>
        <w:t xml:space="preserve">批决定等要求对本项目进行验收，提出意见如下： </w:t>
      </w:r>
    </w:p>
    <w:p>
      <w:pPr>
        <w:numPr>
          <w:ilvl w:val="0"/>
          <w:numId w:val="1"/>
        </w:numPr>
        <w:adjustRightInd w:val="0"/>
        <w:snapToGrid w:val="0"/>
        <w:spacing w:line="520" w:lineRule="exact"/>
        <w:ind w:firstLine="562" w:firstLineChars="200"/>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工程建设基本情况</w:t>
      </w:r>
    </w:p>
    <w:p>
      <w:pPr>
        <w:adjustRightInd w:val="0"/>
        <w:snapToGrid w:val="0"/>
        <w:spacing w:line="520" w:lineRule="exact"/>
        <w:ind w:firstLine="420" w:firstLineChars="15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（一）建设地点、规模、主要建设内容</w:t>
      </w:r>
    </w:p>
    <w:p>
      <w:pPr>
        <w:widowControl/>
        <w:spacing w:line="360" w:lineRule="auto"/>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eastAsia" w:ascii="Times New Roman" w:hAnsi="Times New Roman" w:eastAsia="仿宋" w:cs="Times New Roman"/>
          <w:kern w:val="0"/>
          <w:sz w:val="28"/>
          <w:szCs w:val="28"/>
          <w:lang w:val="en-US" w:eastAsia="zh-CN"/>
        </w:rPr>
        <w:t>宁波宝丰冶金渣环保工程有限责任公司位于宁波北仑宁钢五丰塘固废处理园区，是一家专门处理宁波钢铁有限公司产生的钢渣废弃物（包括转炉渣、脱</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硫渣、铸余渣）的企业。</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企业</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投资5</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00</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万元，新增一条钢渣生产线（即</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生产线），本项目实施后原有的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生产线仅处理转炉渣和铸余渣，年处理量为</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42</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万吨，原有的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条粒子钢水洗线仅配套处理</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生产线的半成品，新增的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生产线仅处理脱硫渣，年处理量为</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8</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万吨，其产品无需经过水洗工序。本项目实施后，全厂总产能将保持不变。</w:t>
      </w:r>
      <w:r>
        <w:rPr>
          <w:rFonts w:hint="eastAsia" w:ascii="Times New Roman" w:hAnsi="Times New Roman" w:eastAsia="仿宋" w:cs="Times New Roman"/>
          <w:kern w:val="0"/>
          <w:sz w:val="28"/>
          <w:szCs w:val="28"/>
          <w:lang w:val="en-US" w:eastAsia="zh-CN"/>
        </w:rPr>
        <w:t>主要生产工艺为进料、振动筛、磁辊、振动筛等。</w:t>
      </w:r>
    </w:p>
    <w:p>
      <w:pPr>
        <w:rPr>
          <w:rFonts w:hint="default"/>
          <w:sz w:val="21"/>
          <w:szCs w:val="21"/>
          <w:lang w:val="en-US" w:eastAsia="zh-CN"/>
        </w:rPr>
      </w:pPr>
      <w:r>
        <w:rPr>
          <w:rFonts w:hint="default" w:ascii="Times New Roman" w:hAnsi="Times New Roman" w:eastAsia="仿宋" w:cs="Times New Roman"/>
          <w:color w:val="000000" w:themeColor="text1"/>
          <w:kern w:val="0"/>
          <w:sz w:val="28"/>
          <w:szCs w:val="28"/>
          <w14:textFill>
            <w14:solidFill>
              <w14:schemeClr w14:val="tx1"/>
            </w14:solidFill>
          </w14:textFill>
        </w:rPr>
        <w:t>本项目用水主要为生活用水</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和清洗用水</w:t>
      </w:r>
      <w:r>
        <w:rPr>
          <w:rFonts w:hint="default" w:ascii="Times New Roman" w:hAnsi="Times New Roman" w:eastAsia="仿宋" w:cs="Times New Roman"/>
          <w:color w:val="000000" w:themeColor="text1"/>
          <w:kern w:val="0"/>
          <w:sz w:val="28"/>
          <w:szCs w:val="28"/>
          <w14:textFill>
            <w14:solidFill>
              <w14:schemeClr w14:val="tx1"/>
            </w14:solidFill>
          </w14:textFill>
        </w:rPr>
        <w:t>，由市政自来水供水管网接至项目区内，排水实行雨污分流。生活污水经化粪池预处理后</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进</w:t>
      </w:r>
      <w:r>
        <w:rPr>
          <w:rFonts w:hint="default" w:ascii="Times New Roman" w:hAnsi="Times New Roman" w:eastAsia="仿宋" w:cs="Times New Roman"/>
          <w:color w:val="000000" w:themeColor="text1"/>
          <w:kern w:val="0"/>
          <w:sz w:val="28"/>
          <w:szCs w:val="28"/>
          <w14:textFill>
            <w14:solidFill>
              <w14:schemeClr w14:val="tx1"/>
            </w14:solidFill>
          </w14:textFill>
        </w:rPr>
        <w:t>入</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宁钢五丰塘焦化厂酚氰废水处理站处理达标后全部回用于生产，不外排。粒子钢清洗废水经4个沉淀池沉淀后，全部回用于粒子钢清洗。</w:t>
      </w:r>
    </w:p>
    <w:p>
      <w:pPr>
        <w:adjustRightInd w:val="0"/>
        <w:snapToGrid w:val="0"/>
        <w:spacing w:line="520" w:lineRule="exact"/>
        <w:ind w:firstLine="420" w:firstLineChars="15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（二）建设过程及环保审批情况</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企业于</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2014</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年</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5</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月委托编制了《冶金渣综合利用项目环境影响报告表》，于同年</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8</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月获得北仑区环保局的环评批复，并于</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2017</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年</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月通过了北仑区环保局的竣工环保验收（仑环建</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[2014]178</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号，仑环验函</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[2017]5</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号）。根据项目原环评及验收文件，企业设计钢渣处理能力为</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50</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年，其中年产甲级钢渣</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1.5</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万吨、乙级钢渣</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4</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万吨、粒子钢</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4</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万吨、渣粉</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39.5</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万吨，主要生产设备包括</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条钢渣分选线（</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条粒子钢水洗线。</w:t>
      </w:r>
    </w:p>
    <w:p>
      <w:pPr>
        <w:widowControl/>
        <w:adjustRightInd w:val="0"/>
        <w:snapToGrid w:val="0"/>
        <w:spacing w:line="520" w:lineRule="exact"/>
        <w:ind w:firstLine="560" w:firstLineChars="200"/>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由于本项目原先只设一条</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生产线，而原料有转炉渣、脱硫渣、铸余渣三种，当换原料生产的时须先清理生产线，这样会浪费人力物力，故现根据生产需要，在</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生产线所在厂房内新增一条钢渣生产线（即</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生产线），本项目实施后原有的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生产线仅处理转炉渣和铸余渣，年处理量为</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42</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万吨，原有的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条粒子钢水洗线仅配套处理</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生产线的半成品，新增的</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2#</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生产线仅处理脱硫渣，年处理量为</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8</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万吨，其产品无需经过水洗工序。本项目实施后，全厂总产能将保持不变。</w:t>
      </w:r>
    </w:p>
    <w:p>
      <w:pPr>
        <w:widowControl/>
        <w:adjustRightInd w:val="0"/>
        <w:snapToGrid w:val="0"/>
        <w:spacing w:line="520" w:lineRule="exact"/>
        <w:ind w:firstLine="560" w:firstLineChars="200"/>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企业于2018年01月委托浙江仁欣环科院有限责任公司编制了《宁波宝丰冶金渣环保工程有限责任公司冶金渣综合利用技改项目环境影响报告表》，于2019年01月28日得到宁波市生态环境局北仑分局出具的关于《宁波宝丰冶金渣环保工程有限责任公司冶金渣综合利用技改项目环境影响报告表》的备案受理书（编号：仑环建备【2019】003号）。</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对照《固定污染源排污许可分类管理名录（20</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19</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年版）》，本项目属于“</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三十七、废弃资源综合利用业</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类别中</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其他</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实施登记管理，已按要求进行排污登记（登记编号</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：913302066620526789001W</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w:t>
      </w:r>
    </w:p>
    <w:p>
      <w:pPr>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default" w:ascii="Times New Roman" w:hAnsi="Times New Roman" w:eastAsia="仿宋" w:cs="Times New Roman"/>
          <w:color w:val="000000" w:themeColor="text1"/>
          <w:kern w:val="0"/>
          <w:sz w:val="28"/>
          <w:szCs w:val="28"/>
          <w14:textFill>
            <w14:solidFill>
              <w14:schemeClr w14:val="tx1"/>
            </w14:solidFill>
          </w14:textFill>
        </w:rPr>
        <w:t>（三）投资情况</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本次验收的《</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宁波宝丰冶金渣环保工程有限责任公司冶金渣综合利用技改项目</w:t>
      </w:r>
      <w:r>
        <w:rPr>
          <w:rFonts w:hint="default" w:ascii="Times New Roman" w:hAnsi="Times New Roman" w:eastAsia="仿宋" w:cs="Times New Roman"/>
          <w:color w:val="000000" w:themeColor="text1"/>
          <w:sz w:val="28"/>
          <w:szCs w:val="28"/>
          <w14:textFill>
            <w14:solidFill>
              <w14:schemeClr w14:val="tx1"/>
            </w14:solidFill>
          </w14:textFill>
        </w:rPr>
        <w:t>》总投资约</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0</w:t>
      </w:r>
      <w:r>
        <w:rPr>
          <w:rFonts w:hint="default" w:ascii="Times New Roman" w:hAnsi="Times New Roman" w:eastAsia="仿宋" w:cs="Times New Roman"/>
          <w:color w:val="000000" w:themeColor="text1"/>
          <w:sz w:val="28"/>
          <w:szCs w:val="28"/>
          <w14:textFill>
            <w14:solidFill>
              <w14:schemeClr w14:val="tx1"/>
            </w14:solidFill>
          </w14:textFill>
        </w:rPr>
        <w:t>万元，其中环保投资</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50</w:t>
      </w:r>
      <w:r>
        <w:rPr>
          <w:rFonts w:hint="default" w:ascii="Times New Roman" w:hAnsi="Times New Roman" w:eastAsia="仿宋" w:cs="Times New Roman"/>
          <w:color w:val="000000" w:themeColor="text1"/>
          <w:sz w:val="28"/>
          <w:szCs w:val="28"/>
          <w14:textFill>
            <w14:solidFill>
              <w14:schemeClr w14:val="tx1"/>
            </w14:solidFill>
          </w14:textFill>
        </w:rPr>
        <w:t>万元。</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（四）验收范围</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本次验收范围为</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宁波宝丰冶金渣环保工程有限责任公司冶金渣综合利用技改项目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整体验收</w:t>
      </w:r>
      <w:r>
        <w:rPr>
          <w:rFonts w:hint="eastAsia" w:ascii="Times New Roman" w:hAnsi="Times New Roman" w:eastAsia="仿宋" w:cs="Times New Roman"/>
          <w:color w:val="000000" w:themeColor="text1"/>
          <w:sz w:val="28"/>
          <w:szCs w:val="28"/>
          <w:lang w:eastAsia="zh-CN"/>
          <w14:textFill>
            <w14:solidFill>
              <w14:schemeClr w14:val="tx1"/>
            </w14:solidFill>
          </w14:textFill>
        </w:rPr>
        <w:t>（2#生产线</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和</w:t>
      </w:r>
      <w:r>
        <w:rPr>
          <w:rFonts w:hint="eastAsia" w:ascii="Times New Roman" w:hAnsi="Times New Roman" w:eastAsia="仿宋" w:cs="Times New Roman"/>
          <w:color w:val="000000" w:themeColor="text1"/>
          <w:sz w:val="28"/>
          <w:szCs w:val="28"/>
          <w:lang w:eastAsia="zh-CN"/>
          <w14:textFill>
            <w14:solidFill>
              <w14:schemeClr w14:val="tx1"/>
            </w14:solidFill>
          </w14:textFill>
        </w:rPr>
        <w:t>1#生产线中的渣粉生产线）</w:t>
      </w:r>
      <w:r>
        <w:rPr>
          <w:rFonts w:hint="default" w:ascii="Times New Roman" w:hAnsi="Times New Roman" w:eastAsia="仿宋" w:cs="Times New Roman"/>
          <w:color w:val="000000" w:themeColor="text1"/>
          <w:sz w:val="28"/>
          <w:szCs w:val="28"/>
          <w:lang w:eastAsia="zh-CN"/>
          <w14:textFill>
            <w14:solidFill>
              <w14:schemeClr w14:val="tx1"/>
            </w14:solidFill>
          </w14:textFill>
        </w:rPr>
        <w:t>。</w:t>
      </w:r>
    </w:p>
    <w:p>
      <w:pPr>
        <w:adjustRightInd w:val="0"/>
        <w:snapToGrid w:val="0"/>
        <w:spacing w:line="520" w:lineRule="exact"/>
        <w:ind w:firstLine="551" w:firstLineChars="196"/>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二、工程变动情况</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经现场核查，项目建设内容及配套环保设施与项目《环境影响报告表》及其备案受理书基本一致。</w:t>
      </w:r>
    </w:p>
    <w:p>
      <w:pPr>
        <w:pStyle w:val="12"/>
        <w:snapToGrid w:val="0"/>
        <w:spacing w:before="0" w:line="480" w:lineRule="exact"/>
        <w:ind w:firstLine="562" w:firstLineChars="200"/>
        <w:jc w:val="left"/>
        <w:rPr>
          <w:rFonts w:hint="default" w:ascii="Times New Roman" w:hAnsi="Times New Roman" w:eastAsia="仿宋" w:cs="Times New Roman"/>
          <w:b/>
          <w:bCs/>
          <w:kern w:val="2"/>
          <w:sz w:val="28"/>
          <w:szCs w:val="28"/>
          <w:lang w:val="en-US" w:eastAsia="zh-CN" w:bidi="ar-SA"/>
        </w:rPr>
      </w:pPr>
      <w:r>
        <w:rPr>
          <w:rFonts w:hint="default" w:ascii="Times New Roman" w:hAnsi="Times New Roman" w:eastAsia="仿宋" w:cs="Times New Roman"/>
          <w:b/>
          <w:bCs/>
          <w:kern w:val="2"/>
          <w:sz w:val="28"/>
          <w:szCs w:val="28"/>
          <w:lang w:val="en-US" w:eastAsia="zh-CN" w:bidi="ar-SA"/>
        </w:rPr>
        <w:t>三、环境保护设施建设情况</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（一）废气</w:t>
      </w:r>
    </w:p>
    <w:p>
      <w:pPr>
        <w:pStyle w:val="12"/>
        <w:spacing w:before="0" w:line="520" w:lineRule="exact"/>
        <w:ind w:firstLine="560" w:firstLineChars="200"/>
        <w:jc w:val="left"/>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本项目排放的废气主要为</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1#生产线振动筛分废气、</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1#生产线</w:t>
      </w:r>
      <w:r>
        <w:rPr>
          <w:rFonts w:hint="default" w:ascii="Times New Roman" w:hAnsi="Times New Roman" w:eastAsia="仿宋" w:cs="Times New Roman"/>
          <w:color w:val="000000" w:themeColor="text1"/>
          <w:sz w:val="28"/>
          <w:szCs w:val="28"/>
          <w14:textFill>
            <w14:solidFill>
              <w14:schemeClr w14:val="tx1"/>
            </w14:solidFill>
          </w14:textFill>
        </w:rPr>
        <w:t>尾</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渣破碎废气</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2#生产线振动筛分废气</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pStyle w:val="12"/>
        <w:spacing w:before="0" w:line="520" w:lineRule="exact"/>
        <w:ind w:firstLine="560" w:firstLineChars="200"/>
        <w:jc w:val="left"/>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一号生产线振动筛分、尾渣破碎、筛分废气</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收集后经</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高效布袋除尘器</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装置处理后通过</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米排气筒排放</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pStyle w:val="12"/>
        <w:spacing w:before="0" w:line="520" w:lineRule="exact"/>
        <w:ind w:firstLine="560" w:firstLineChars="200"/>
        <w:jc w:val="left"/>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二号生产线振动筛分、尾渣破碎、筛分废气</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收集后经</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高效布袋除尘器</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装置处理后通过</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15</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米排气筒排放</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（二）废水</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kern w:val="0"/>
          <w:sz w:val="28"/>
          <w:szCs w:val="28"/>
          <w14:textFill>
            <w14:solidFill>
              <w14:schemeClr w14:val="tx1"/>
            </w14:solidFill>
          </w14:textFill>
        </w:rPr>
      </w:pPr>
      <w:r>
        <w:rPr>
          <w:rFonts w:hint="default" w:ascii="Times New Roman" w:hAnsi="Times New Roman" w:eastAsia="仿宋" w:cs="Times New Roman"/>
          <w:color w:val="000000" w:themeColor="text1"/>
          <w:kern w:val="0"/>
          <w:sz w:val="28"/>
          <w:szCs w:val="28"/>
          <w14:textFill>
            <w14:solidFill>
              <w14:schemeClr w14:val="tx1"/>
            </w14:solidFill>
          </w14:textFill>
        </w:rPr>
        <w:t>企业的废水主要为生活污水</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和粒子钢清洗废水</w:t>
      </w:r>
      <w:r>
        <w:rPr>
          <w:rFonts w:hint="default" w:ascii="Times New Roman" w:hAnsi="Times New Roman" w:eastAsia="仿宋" w:cs="Times New Roman"/>
          <w:color w:val="000000" w:themeColor="text1"/>
          <w:kern w:val="0"/>
          <w:sz w:val="28"/>
          <w:szCs w:val="28"/>
          <w14:textFill>
            <w14:solidFill>
              <w14:schemeClr w14:val="tx1"/>
            </w14:solidFill>
          </w14:textFill>
        </w:rPr>
        <w:t>。生活污水经化粪池预处理后</w:t>
      </w:r>
      <w:r>
        <w:rPr>
          <w:rFonts w:hint="eastAsia" w:ascii="Times New Roman" w:hAnsi="Times New Roman" w:eastAsia="仿宋" w:cs="Times New Roman"/>
          <w:color w:val="000000" w:themeColor="text1"/>
          <w:kern w:val="0"/>
          <w:sz w:val="28"/>
          <w:szCs w:val="28"/>
          <w:lang w:val="en-US" w:eastAsia="zh-CN"/>
          <w14:textFill>
            <w14:solidFill>
              <w14:schemeClr w14:val="tx1"/>
            </w14:solidFill>
          </w14:textFill>
        </w:rPr>
        <w:t>依托宁钢五丰塘焦化厂酚氰废水处理站处理达标后全部回用于生产，不外排；粒子钢清洗废水经4个沉淀池沉淀后，全部回用于粒子钢清洗。</w:t>
      </w:r>
      <w:r>
        <w:rPr>
          <w:rFonts w:hint="default" w:ascii="Times New Roman" w:hAnsi="Times New Roman" w:eastAsia="仿宋" w:cs="Times New Roman"/>
          <w:color w:val="000000" w:themeColor="text1"/>
          <w:kern w:val="0"/>
          <w:sz w:val="28"/>
          <w:szCs w:val="28"/>
          <w:lang w:val="en-US" w:eastAsia="zh-CN"/>
          <w14:textFill>
            <w14:solidFill>
              <w14:schemeClr w14:val="tx1"/>
            </w14:solidFill>
          </w14:textFill>
        </w:rPr>
        <w:t xml:space="preserve"> </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（三）噪声</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本工程的噪声源主要来源于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振动筛、破碎机</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等</w:t>
      </w:r>
      <w:r>
        <w:rPr>
          <w:rFonts w:hint="default" w:ascii="Times New Roman" w:hAnsi="Times New Roman" w:eastAsia="仿宋" w:cs="Times New Roman"/>
          <w:color w:val="000000" w:themeColor="text1"/>
          <w:sz w:val="28"/>
          <w:szCs w:val="28"/>
          <w14:textFill>
            <w14:solidFill>
              <w14:schemeClr w14:val="tx1"/>
            </w14:solidFill>
          </w14:textFill>
        </w:rPr>
        <w:t>设备运行噪声，针对各类设备噪声，已采取了隔声、减振、消声等措施。</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（四）固体废物</w:t>
      </w:r>
    </w:p>
    <w:p>
      <w:pPr>
        <w:keepNext w:val="0"/>
        <w:keepLines w:val="0"/>
        <w:pageBreakBefore w:val="0"/>
        <w:widowControl w:val="0"/>
        <w:kinsoku/>
        <w:wordWrap/>
        <w:overflowPunct/>
        <w:topLinePunct w:val="0"/>
        <w:autoSpaceDE/>
        <w:autoSpaceDN/>
        <w:bidi w:val="0"/>
        <w:spacing w:line="360" w:lineRule="auto"/>
        <w:ind w:firstLine="480"/>
        <w:textAlignment w:val="auto"/>
        <w:rPr>
          <w:rFonts w:hint="eastAsia" w:ascii="Times New Roman" w:hAnsi="Times New Roman" w:eastAsia="仿宋" w:cs="Times New Roman"/>
          <w:color w:val="000000" w:themeColor="text1"/>
          <w:sz w:val="28"/>
          <w:szCs w:val="28"/>
          <w:lang w:val="en-US" w:eastAsia="zh-CN"/>
          <w14:textFill>
            <w14:solidFill>
              <w14:schemeClr w14:val="tx1"/>
            </w14:solidFill>
          </w14:textFill>
        </w:rPr>
      </w:pPr>
      <w:bookmarkStart w:id="0" w:name="_Hlk36134466"/>
      <w:r>
        <w:rPr>
          <w:rFonts w:hint="default" w:ascii="Times New Roman" w:hAnsi="Times New Roman" w:eastAsia="仿宋" w:cs="Times New Roman"/>
          <w:color w:val="000000" w:themeColor="text1"/>
          <w:sz w:val="28"/>
          <w:szCs w:val="28"/>
          <w:lang w:val="en-US" w:eastAsia="zh-CN"/>
          <w14:textFill>
            <w14:solidFill>
              <w14:schemeClr w14:val="tx1"/>
            </w14:solidFill>
          </w14:textFill>
        </w:rPr>
        <w:t>本项目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2#生产线无新增固体废物产生，1#生产固体废物主要为废渣及生活垃圾。废渣及生活垃圾均属于一般固废，其中废渣</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出售给宁波紫恒建材科技有限公司；</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员工生活垃圾经垃圾桶分类收集、委托环卫部门定期清运处置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bookmarkEnd w:id="0"/>
    <w:p>
      <w:pPr>
        <w:adjustRightInd w:val="0"/>
        <w:snapToGrid w:val="0"/>
        <w:spacing w:line="520" w:lineRule="exact"/>
        <w:ind w:firstLine="420" w:firstLineChars="15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（五）辐射</w:t>
      </w:r>
    </w:p>
    <w:p>
      <w:pPr>
        <w:adjustRightInd w:val="0"/>
        <w:snapToGrid w:val="0"/>
        <w:spacing w:line="520" w:lineRule="exact"/>
        <w:ind w:left="420" w:left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 xml:space="preserve"> 本项目无辐射源。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150"/>
        <w:textAlignment w:val="auto"/>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（六）其他环境保护设施</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1、环境风险防范设施</w:t>
      </w:r>
    </w:p>
    <w:p>
      <w:pPr>
        <w:spacing w:line="520" w:lineRule="exact"/>
        <w:ind w:firstLine="560" w:firstLineChars="200"/>
        <w:rPr>
          <w:rFonts w:hint="default" w:ascii="Times New Roman" w:hAnsi="Times New Roman" w:eastAsia="仿宋" w:cs="Times New Roman"/>
          <w:color w:val="000000" w:themeColor="text1"/>
          <w:sz w:val="28"/>
          <w:szCs w:val="28"/>
          <w:lang w:eastAsia="zh-CN"/>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本项目环评及</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备案受理书</w:t>
      </w:r>
      <w:r>
        <w:rPr>
          <w:rFonts w:hint="default" w:ascii="Times New Roman" w:hAnsi="Times New Roman" w:eastAsia="仿宋" w:cs="Times New Roman"/>
          <w:color w:val="000000" w:themeColor="text1"/>
          <w:sz w:val="28"/>
          <w:szCs w:val="28"/>
          <w14:textFill>
            <w14:solidFill>
              <w14:schemeClr w14:val="tx1"/>
            </w14:solidFill>
          </w14:textFill>
        </w:rPr>
        <w:t>未提出编制环境应急预案要求</w:t>
      </w:r>
      <w:r>
        <w:rPr>
          <w:rFonts w:hint="default" w:ascii="Times New Roman" w:hAnsi="Times New Roman" w:eastAsia="仿宋" w:cs="Times New Roman"/>
          <w:color w:val="000000" w:themeColor="text1"/>
          <w:sz w:val="28"/>
          <w:szCs w:val="28"/>
          <w:lang w:eastAsia="zh-CN"/>
          <w14:textFill>
            <w14:solidFill>
              <w14:schemeClr w14:val="tx1"/>
            </w14:solidFill>
          </w14:textFill>
        </w:rPr>
        <w:t>。</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2、在线监测装置</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在线监测装置《项目环境影响</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报告表</w:t>
      </w:r>
      <w:r>
        <w:rPr>
          <w:rFonts w:hint="default" w:ascii="Times New Roman" w:hAnsi="Times New Roman" w:eastAsia="仿宋" w:cs="Times New Roman"/>
          <w:color w:val="000000" w:themeColor="text1"/>
          <w:sz w:val="28"/>
          <w:szCs w:val="28"/>
          <w14:textFill>
            <w14:solidFill>
              <w14:schemeClr w14:val="tx1"/>
            </w14:solidFill>
          </w14:textFill>
        </w:rPr>
        <w:t>》及</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备案受理书</w:t>
      </w:r>
      <w:r>
        <w:rPr>
          <w:rFonts w:hint="default" w:ascii="Times New Roman" w:hAnsi="Times New Roman" w:eastAsia="仿宋" w:cs="Times New Roman"/>
          <w:color w:val="000000" w:themeColor="text1"/>
          <w:sz w:val="28"/>
          <w:szCs w:val="28"/>
          <w14:textFill>
            <w14:solidFill>
              <w14:schemeClr w14:val="tx1"/>
            </w14:solidFill>
          </w14:textFill>
        </w:rPr>
        <w:t>未作要求。</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3、其他设施</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环评及其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备案受理书</w:t>
      </w:r>
      <w:r>
        <w:rPr>
          <w:rFonts w:hint="default" w:ascii="Times New Roman" w:hAnsi="Times New Roman" w:eastAsia="仿宋" w:cs="Times New Roman"/>
          <w:color w:val="000000" w:themeColor="text1"/>
          <w:sz w:val="28"/>
          <w:szCs w:val="28"/>
          <w14:textFill>
            <w14:solidFill>
              <w14:schemeClr w14:val="tx1"/>
            </w14:solidFill>
          </w14:textFill>
        </w:rPr>
        <w:t>未提出生态恢复工程、绿化工程、边坡防护工程等其他环境保护设施的落实情况。</w:t>
      </w:r>
    </w:p>
    <w:p>
      <w:pPr>
        <w:adjustRightInd w:val="0"/>
        <w:snapToGrid w:val="0"/>
        <w:spacing w:line="520" w:lineRule="exact"/>
        <w:ind w:left="420" w:leftChars="2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四、环境保护设施调试效果</w:t>
      </w:r>
    </w:p>
    <w:p>
      <w:pPr>
        <w:adjustRightInd w:val="0"/>
        <w:snapToGrid w:val="0"/>
        <w:spacing w:line="520" w:lineRule="exact"/>
        <w:ind w:left="420" w:left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（一）环保设施处理效率</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本项目环评及</w:t>
      </w:r>
      <w:r>
        <w:rPr>
          <w:rFonts w:hint="eastAsia" w:ascii="Times New Roman" w:hAnsi="Times New Roman" w:eastAsia="仿宋" w:cs="Times New Roman"/>
          <w:color w:val="auto"/>
          <w:sz w:val="28"/>
          <w:szCs w:val="28"/>
          <w:lang w:val="en-US" w:eastAsia="zh-CN"/>
        </w:rPr>
        <w:t>备案受理书</w:t>
      </w:r>
      <w:r>
        <w:rPr>
          <w:rFonts w:hint="default" w:ascii="Times New Roman" w:hAnsi="Times New Roman" w:eastAsia="仿宋" w:cs="Times New Roman"/>
          <w:color w:val="000000" w:themeColor="text1"/>
          <w:sz w:val="28"/>
          <w:szCs w:val="28"/>
          <w14:textFill>
            <w14:solidFill>
              <w14:schemeClr w14:val="tx1"/>
            </w14:solidFill>
          </w14:textFill>
        </w:rPr>
        <w:t>中无环保设施处理效率要求。</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（二）污染物排放情况</w:t>
      </w:r>
    </w:p>
    <w:p>
      <w:pPr>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浙江中一检测研究院股份有限公司于</w:t>
      </w:r>
      <w:r>
        <w:rPr>
          <w:rFonts w:hint="eastAsia" w:ascii="Times New Roman" w:hAnsi="Times New Roman" w:eastAsia="仿宋" w:cs="Times New Roman"/>
          <w:color w:val="000000" w:themeColor="text1"/>
          <w:sz w:val="28"/>
          <w:szCs w:val="28"/>
          <w:lang w:eastAsia="zh-CN"/>
          <w14:textFill>
            <w14:solidFill>
              <w14:schemeClr w14:val="tx1"/>
            </w14:solidFill>
          </w14:textFill>
        </w:rPr>
        <w:t>2022年03月14日~15日</w:t>
      </w:r>
      <w:r>
        <w:rPr>
          <w:rFonts w:hint="default" w:ascii="Times New Roman" w:hAnsi="Times New Roman" w:eastAsia="仿宋" w:cs="Times New Roman"/>
          <w:color w:val="000000" w:themeColor="text1"/>
          <w:sz w:val="28"/>
          <w:szCs w:val="28"/>
          <w14:textFill>
            <w14:solidFill>
              <w14:schemeClr w14:val="tx1"/>
            </w14:solidFill>
          </w14:textFill>
        </w:rPr>
        <w:t>对本项目进行了现场检测。根据出具的《浙江中一检测研究院股份有限公司监测报告（</w:t>
      </w:r>
      <w:r>
        <w:rPr>
          <w:rFonts w:hint="eastAsia" w:ascii="Times New Roman" w:hAnsi="Times New Roman" w:eastAsia="仿宋" w:cs="Times New Roman"/>
          <w:color w:val="000000" w:themeColor="text1"/>
          <w:sz w:val="28"/>
          <w:szCs w:val="28"/>
          <w:lang w:eastAsia="zh-CN"/>
          <w14:textFill>
            <w14:solidFill>
              <w14:schemeClr w14:val="tx1"/>
            </w14:solidFill>
          </w14:textFill>
        </w:rPr>
        <w:t>HY2200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14</w:t>
      </w:r>
      <w:r>
        <w:rPr>
          <w:rFonts w:hint="default" w:ascii="Times New Roman" w:hAnsi="Times New Roman" w:eastAsia="仿宋" w:cs="Times New Roman"/>
          <w:color w:val="000000" w:themeColor="text1"/>
          <w:sz w:val="28"/>
          <w:szCs w:val="28"/>
          <w14:textFill>
            <w14:solidFill>
              <w14:schemeClr w14:val="tx1"/>
            </w14:solidFill>
          </w14:textFill>
        </w:rPr>
        <w:t>）》检测结果表明：</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1、废气治理设施</w:t>
      </w:r>
    </w:p>
    <w:p>
      <w:pPr>
        <w:adjustRightInd w:val="0"/>
        <w:snapToGrid w:val="0"/>
        <w:spacing w:line="520" w:lineRule="exact"/>
        <w:ind w:firstLine="560" w:firstLineChars="200"/>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hint="eastAsia" w:ascii="Times New Roman" w:hAnsi="Times New Roman" w:eastAsia="仿宋" w:cs="Times New Roman"/>
          <w:color w:val="000000" w:themeColor="text1"/>
          <w:sz w:val="28"/>
          <w:szCs w:val="28"/>
          <w:lang w:eastAsia="zh-CN"/>
          <w14:textFill>
            <w14:solidFill>
              <w14:schemeClr w14:val="tx1"/>
            </w14:solidFill>
          </w14:textFill>
        </w:rPr>
        <w:t>）</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有组织废气</w:t>
      </w:r>
    </w:p>
    <w:p>
      <w:pPr>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验收监测期间，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一号生产线振动筛分、尾渣破碎、筛分废气出口和二号生产线</w:t>
      </w:r>
      <w:r>
        <w:rPr>
          <w:rFonts w:hint="eastAsia" w:ascii="Times New Roman" w:hAnsi="Times New Roman" w:eastAsia="仿宋" w:cs="Times New Roman"/>
          <w:color w:val="auto"/>
          <w:sz w:val="28"/>
          <w:szCs w:val="28"/>
          <w:lang w:val="en-US" w:eastAsia="zh-CN"/>
        </w:rPr>
        <w:t>振动筛分、尾渣破碎、筛分废气出口中颗粒物浓度及排放速率均符合</w:t>
      </w:r>
      <w:r>
        <w:rPr>
          <w:rFonts w:hint="default" w:ascii="Times New Roman" w:hAnsi="Times New Roman" w:eastAsia="仿宋" w:cs="Times New Roman"/>
          <w:color w:val="auto"/>
          <w:sz w:val="28"/>
          <w:szCs w:val="28"/>
          <w:lang w:val="en-US" w:eastAsia="zh-CN"/>
        </w:rPr>
        <w:t>《大气污染物综合排放标准》（GB16297-1996）“新污染源大气污染物</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排放限值”二级标准</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限值。</w:t>
      </w:r>
    </w:p>
    <w:p>
      <w:pPr>
        <w:numPr>
          <w:ilvl w:val="0"/>
          <w:numId w:val="2"/>
        </w:numPr>
        <w:adjustRightInd w:val="0"/>
        <w:snapToGrid w:val="0"/>
        <w:spacing w:line="520" w:lineRule="exact"/>
        <w:ind w:firstLine="560" w:firstLineChars="200"/>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无组织废气</w:t>
      </w:r>
    </w:p>
    <w:p>
      <w:pPr>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验收监测期间，</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宁波宝丰冶金渣环保工程有限责任公司</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厂界无组织废气上下风向各监测点位</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总悬浮颗粒物</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监测值均符合《大气污染物综合排放标准》（GB 16297-1996）表2限值</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spacing w:line="360" w:lineRule="auto"/>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2、废水治理</w:t>
      </w:r>
    </w:p>
    <w:p>
      <w:pPr>
        <w:pStyle w:val="5"/>
        <w:snapToGrid w:val="0"/>
        <w:spacing w:line="360" w:lineRule="auto"/>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宁波宝丰冶金渣环保工程有限责任公司</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生活污水经化粪池预处理后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pH值、悬浮物、化学需氧量、五日生化需氧量、石油类、氨氮、总氮、总磷排放浓度均符合《炼焦化学工业污染物排放标准》GB 16171-2012表3中直接排放标准限值。</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3、厂界噪声治理</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根据监测结果，</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宁波宝丰冶金渣环保工程有限责任公司厂界</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北侧、南侧、东侧</w:t>
      </w:r>
      <w:r>
        <w:rPr>
          <w:rFonts w:hint="eastAsia" w:ascii="Times New Roman" w:hAnsi="Times New Roman" w:eastAsia="仿宋" w:cs="Times New Roman"/>
          <w:color w:val="000000" w:themeColor="text1"/>
          <w:sz w:val="28"/>
          <w:szCs w:val="28"/>
          <w:lang w:eastAsia="zh-CN"/>
          <w14:textFill>
            <w14:solidFill>
              <w14:schemeClr w14:val="tx1"/>
            </w14:solidFill>
          </w14:textFill>
        </w:rPr>
        <w:t>噪声监测点昼夜噪声均符合《工业企业厂界环境噪声排放标准》（GB12348-2008）3类标准，项目厂界</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西侧</w:t>
      </w:r>
      <w:r>
        <w:rPr>
          <w:rFonts w:hint="eastAsia" w:ascii="Times New Roman" w:hAnsi="Times New Roman" w:eastAsia="仿宋" w:cs="Times New Roman"/>
          <w:color w:val="000000" w:themeColor="text1"/>
          <w:sz w:val="28"/>
          <w:szCs w:val="28"/>
          <w:lang w:eastAsia="zh-CN"/>
          <w14:textFill>
            <w14:solidFill>
              <w14:schemeClr w14:val="tx1"/>
            </w14:solidFill>
          </w14:textFill>
        </w:rPr>
        <w:t>噪声监测点昼夜噪声均符合《工业企业厂界环境噪声排放标准》（GB12348-2008）</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4</w:t>
      </w:r>
      <w:r>
        <w:rPr>
          <w:rFonts w:hint="eastAsia" w:ascii="Times New Roman" w:hAnsi="Times New Roman" w:eastAsia="仿宋" w:cs="Times New Roman"/>
          <w:color w:val="000000" w:themeColor="text1"/>
          <w:sz w:val="28"/>
          <w:szCs w:val="28"/>
          <w:lang w:eastAsia="zh-CN"/>
          <w14:textFill>
            <w14:solidFill>
              <w14:schemeClr w14:val="tx1"/>
            </w14:solidFill>
          </w14:textFill>
        </w:rPr>
        <w:t>类标准。</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4、固体废物治理设施</w:t>
      </w:r>
    </w:p>
    <w:p>
      <w:pPr>
        <w:keepNext w:val="0"/>
        <w:keepLines w:val="0"/>
        <w:pageBreakBefore w:val="0"/>
        <w:widowControl w:val="0"/>
        <w:kinsoku/>
        <w:wordWrap/>
        <w:overflowPunct/>
        <w:topLinePunct w:val="0"/>
        <w:autoSpaceDE/>
        <w:autoSpaceDN/>
        <w:bidi w:val="0"/>
        <w:spacing w:line="360" w:lineRule="auto"/>
        <w:ind w:firstLine="480"/>
        <w:textAlignment w:val="auto"/>
        <w:rPr>
          <w:rFonts w:hint="eastAsia"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本项目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2#生产线无新增固体废物产生，1#生产固体废物主要为废渣及生活垃圾。废渣及生活垃圾均属于一般固废，其中废渣</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收集后</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出售给宁波紫恒建材科技有限公司；</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员工生活垃圾经垃圾桶分类收集、委托环卫部门定期清运处置</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w:t>
      </w:r>
    </w:p>
    <w:p>
      <w:pPr>
        <w:widowControl/>
        <w:adjustRightInd w:val="0"/>
        <w:snapToGrid w:val="0"/>
        <w:spacing w:line="520" w:lineRule="exact"/>
        <w:ind w:firstLine="560"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5、辐射防护设施</w:t>
      </w:r>
    </w:p>
    <w:p>
      <w:pPr>
        <w:adjustRightInd w:val="0"/>
        <w:snapToGrid w:val="0"/>
        <w:spacing w:line="520" w:lineRule="exact"/>
        <w:ind w:firstLine="560" w:firstLineChars="200"/>
        <w:rPr>
          <w:rFonts w:hint="default" w:ascii="Times New Roman" w:hAnsi="Times New Roman" w:eastAsia="仿宋" w:cs="Times New Roman"/>
          <w:color w:val="FF0000"/>
          <w:sz w:val="28"/>
          <w:szCs w:val="28"/>
        </w:rPr>
      </w:pPr>
      <w:r>
        <w:rPr>
          <w:rFonts w:hint="default" w:ascii="Times New Roman" w:hAnsi="Times New Roman" w:eastAsia="仿宋" w:cs="Times New Roman"/>
          <w:color w:val="000000" w:themeColor="text1"/>
          <w:sz w:val="28"/>
          <w:szCs w:val="28"/>
          <w14:textFill>
            <w14:solidFill>
              <w14:schemeClr w14:val="tx1"/>
            </w14:solidFill>
          </w14:textFill>
        </w:rPr>
        <w:t>本项目无辐射源。</w:t>
      </w:r>
    </w:p>
    <w:p>
      <w:pPr>
        <w:adjustRightInd w:val="0"/>
        <w:snapToGrid w:val="0"/>
        <w:spacing w:line="520" w:lineRule="exact"/>
        <w:ind w:firstLine="560" w:firstLineChars="20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lang w:val="en-US" w:eastAsia="zh-CN"/>
          <w14:textFill>
            <w14:solidFill>
              <w14:schemeClr w14:val="tx1"/>
            </w14:solidFill>
          </w14:textFill>
        </w:rPr>
        <w:t>6、污染物排放总量</w:t>
      </w:r>
    </w:p>
    <w:p>
      <w:pPr>
        <w:adjustRightInd w:val="0"/>
        <w:snapToGrid w:val="0"/>
        <w:spacing w:line="520" w:lineRule="exact"/>
        <w:ind w:firstLine="630"/>
        <w:rPr>
          <w:rFonts w:hint="default" w:ascii="Times New Roman" w:hAnsi="Times New Roman" w:eastAsia="仿宋" w:cs="Times New Roman"/>
          <w:color w:val="000000" w:themeColor="text1"/>
          <w:sz w:val="28"/>
          <w:szCs w:val="28"/>
          <w:lang w:val="en-US" w:eastAsia="zh-CN"/>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本项目2#生产线颗粒物年排放量为1.64吨，原项目1#生产线颗粒物年排放量为1.58吨，全厂颗粒物年排放量为3.22吨，符合环评要求</w:t>
      </w:r>
      <w:r>
        <w:rPr>
          <w:rFonts w:hint="default" w:ascii="Times New Roman" w:hAnsi="Times New Roman" w:eastAsia="仿宋" w:cs="Times New Roman"/>
          <w:color w:val="000000" w:themeColor="text1"/>
          <w:sz w:val="28"/>
          <w:szCs w:val="28"/>
          <w:lang w:val="en-US" w:eastAsia="zh-CN"/>
          <w14:textFill>
            <w14:solidFill>
              <w14:schemeClr w14:val="tx1"/>
            </w14:solidFill>
          </w14:textFill>
        </w:rPr>
        <w:t>。</w:t>
      </w:r>
    </w:p>
    <w:p>
      <w:pPr>
        <w:adjustRightInd w:val="0"/>
        <w:snapToGrid w:val="0"/>
        <w:spacing w:line="520" w:lineRule="exact"/>
        <w:ind w:left="56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五、工程建设对环境的影响</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项目已按环保“三同时”要求落实了环境保护措施，经监测各类污染物均能做到达标排放，工程建设对环境的影响在可控制范围内。</w:t>
      </w:r>
    </w:p>
    <w:p>
      <w:pPr>
        <w:adjustRightInd w:val="0"/>
        <w:snapToGrid w:val="0"/>
        <w:spacing w:line="520" w:lineRule="exact"/>
        <w:ind w:firstLine="562" w:firstLineChars="2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六、验收结论</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经现场查验，《</w:t>
      </w:r>
      <w:r>
        <w:rPr>
          <w:rFonts w:hint="eastAsia" w:ascii="Times New Roman" w:hAnsi="Times New Roman" w:eastAsia="仿宋" w:cs="Times New Roman"/>
          <w:color w:val="000000" w:themeColor="text1"/>
          <w:sz w:val="28"/>
          <w:szCs w:val="28"/>
          <w:lang w:eastAsia="zh-CN"/>
          <w14:textFill>
            <w14:solidFill>
              <w14:schemeClr w14:val="tx1"/>
            </w14:solidFill>
          </w14:textFill>
        </w:rPr>
        <w:t>宁波宝丰冶金渣环保工程有限责任公司冶金渣综合利用技改项目</w:t>
      </w:r>
      <w:r>
        <w:rPr>
          <w:rFonts w:hint="default" w:ascii="Times New Roman" w:hAnsi="Times New Roman" w:eastAsia="仿宋" w:cs="Times New Roman"/>
          <w:color w:val="000000" w:themeColor="text1"/>
          <w:sz w:val="28"/>
          <w:szCs w:val="28"/>
          <w14:textFill>
            <w14:solidFill>
              <w14:schemeClr w14:val="tx1"/>
            </w14:solidFill>
          </w14:textFill>
        </w:rPr>
        <w:t>》环评手续齐备，主体工程和配套环保工程建设完备，项目建设内容与项目《环境影响评价</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报告表</w:t>
      </w:r>
      <w:r>
        <w:rPr>
          <w:rFonts w:hint="default" w:ascii="Times New Roman" w:hAnsi="Times New Roman" w:eastAsia="仿宋" w:cs="Times New Roman"/>
          <w:color w:val="000000" w:themeColor="text1"/>
          <w:sz w:val="28"/>
          <w:szCs w:val="28"/>
          <w14:textFill>
            <w14:solidFill>
              <w14:schemeClr w14:val="tx1"/>
            </w14:solidFill>
          </w14:textFill>
        </w:rPr>
        <w:t>》及其《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备案受理书</w:t>
      </w:r>
      <w:r>
        <w:rPr>
          <w:rFonts w:hint="default" w:ascii="Times New Roman" w:hAnsi="Times New Roman" w:eastAsia="仿宋" w:cs="Times New Roman"/>
          <w:color w:val="000000" w:themeColor="text1"/>
          <w:sz w:val="28"/>
          <w:szCs w:val="28"/>
          <w14:textFill>
            <w14:solidFill>
              <w14:schemeClr w14:val="tx1"/>
            </w14:solidFill>
          </w14:textFill>
        </w:rPr>
        <w:t>》基本一致，已落实了环保“三同时”和《环境影响评价</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报告表</w:t>
      </w:r>
      <w:r>
        <w:rPr>
          <w:rFonts w:hint="default" w:ascii="Times New Roman" w:hAnsi="Times New Roman" w:eastAsia="仿宋" w:cs="Times New Roman"/>
          <w:color w:val="000000" w:themeColor="text1"/>
          <w:sz w:val="28"/>
          <w:szCs w:val="28"/>
          <w14:textFill>
            <w14:solidFill>
              <w14:schemeClr w14:val="tx1"/>
            </w14:solidFill>
          </w14:textFill>
        </w:rPr>
        <w:t>》及其《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备案受理书</w:t>
      </w:r>
      <w:r>
        <w:rPr>
          <w:rFonts w:hint="default" w:ascii="Times New Roman" w:hAnsi="Times New Roman" w:eastAsia="仿宋" w:cs="Times New Roman"/>
          <w:color w:val="000000" w:themeColor="text1"/>
          <w:sz w:val="28"/>
          <w:szCs w:val="28"/>
          <w14:textFill>
            <w14:solidFill>
              <w14:schemeClr w14:val="tx1"/>
            </w14:solidFill>
          </w14:textFill>
        </w:rPr>
        <w:t>》提出的各项环保要求，竣工环保验收条件具备。验收资料完整齐全，污染物达标排放、环保设施有效运行的验收监测结论明确合理。验收工作组同意该项目通过竣工环境保护验收。</w:t>
      </w:r>
    </w:p>
    <w:p>
      <w:pPr>
        <w:adjustRightInd w:val="0"/>
        <w:snapToGrid w:val="0"/>
        <w:spacing w:line="520" w:lineRule="exact"/>
        <w:ind w:firstLine="562" w:firstLineChars="20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七、后续要求</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1、严格遵守环保法律法规，完善内部环保管理制度，强化从事环保工作人员业务培训，完善各项环境保护管理和监测制度，重点加强对污染治理设施的维护、管理及正常运行，确保各项污染物长期稳定达标排放。</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2、进一步完善环保管理制度，规范危险废物暂存及管理。</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3、按竣工验收规范将竣工验收的相关内容和结论进行公示、公开。</w:t>
      </w:r>
    </w:p>
    <w:p>
      <w:pPr>
        <w:adjustRightInd w:val="0"/>
        <w:snapToGrid w:val="0"/>
        <w:spacing w:line="520" w:lineRule="exact"/>
        <w:ind w:firstLine="562" w:firstLineChars="200"/>
        <w:rPr>
          <w:rFonts w:hint="default" w:ascii="Times New Roman" w:hAnsi="Times New Roman" w:eastAsia="仿宋" w:cs="Times New Roman"/>
          <w:b/>
          <w:bCs/>
          <w:color w:val="000000" w:themeColor="text1"/>
          <w:sz w:val="28"/>
          <w:szCs w:val="28"/>
          <w14:textFill>
            <w14:solidFill>
              <w14:schemeClr w14:val="tx1"/>
            </w14:solidFill>
          </w14:textFill>
        </w:rPr>
      </w:pPr>
      <w:r>
        <w:rPr>
          <w:rFonts w:hint="default" w:ascii="Times New Roman" w:hAnsi="Times New Roman" w:eastAsia="仿宋" w:cs="Times New Roman"/>
          <w:b/>
          <w:bCs/>
          <w:color w:val="000000" w:themeColor="text1"/>
          <w:sz w:val="28"/>
          <w:szCs w:val="28"/>
          <w14:textFill>
            <w14:solidFill>
              <w14:schemeClr w14:val="tx1"/>
            </w14:solidFill>
          </w14:textFill>
        </w:rPr>
        <w:t>八、验收人员信息</w:t>
      </w:r>
    </w:p>
    <w:p>
      <w:pPr>
        <w:adjustRightInd w:val="0"/>
        <w:snapToGrid w:val="0"/>
        <w:spacing w:line="520" w:lineRule="exact"/>
        <w:ind w:firstLine="630"/>
        <w:rPr>
          <w:rFonts w:hint="default" w:ascii="Times New Roman" w:hAnsi="Times New Roman" w:eastAsia="仿宋" w:cs="Times New Roman"/>
          <w:color w:val="000000" w:themeColor="text1"/>
          <w:sz w:val="28"/>
          <w:szCs w:val="28"/>
          <w14:textFill>
            <w14:solidFill>
              <w14:schemeClr w14:val="tx1"/>
            </w14:solidFill>
          </w14:textFill>
        </w:rPr>
      </w:pPr>
      <w:r>
        <w:rPr>
          <w:rFonts w:hint="default" w:ascii="Times New Roman" w:hAnsi="Times New Roman" w:eastAsia="仿宋" w:cs="Times New Roman"/>
          <w:color w:val="000000" w:themeColor="text1"/>
          <w:sz w:val="28"/>
          <w:szCs w:val="28"/>
          <w14:textFill>
            <w14:solidFill>
              <w14:schemeClr w14:val="tx1"/>
            </w14:solidFill>
          </w14:textFill>
        </w:rPr>
        <w:t xml:space="preserve"> 参加验收的单位及人员名单、验收负责人（建设单位）具体信息见附表：</w:t>
      </w:r>
    </w:p>
    <w:p>
      <w:pPr>
        <w:adjustRightInd w:val="0"/>
        <w:snapToGrid w:val="0"/>
        <w:spacing w:line="520" w:lineRule="exact"/>
        <w:jc w:val="right"/>
        <w:rPr>
          <w:rFonts w:hint="default" w:ascii="Times New Roman" w:hAnsi="Times New Roman" w:eastAsia="仿宋" w:cs="Times New Roman"/>
          <w:color w:val="000000" w:themeColor="text1"/>
          <w:sz w:val="28"/>
          <w:szCs w:val="28"/>
          <w:lang w:eastAsia="zh-CN"/>
          <w14:textFill>
            <w14:solidFill>
              <w14:schemeClr w14:val="tx1"/>
            </w14:solidFill>
          </w14:textFill>
        </w:rPr>
      </w:pPr>
      <w:r>
        <w:rPr>
          <w:rFonts w:hint="eastAsia" w:ascii="Times New Roman" w:hAnsi="Times New Roman" w:eastAsia="仿宋" w:cs="Times New Roman"/>
          <w:color w:val="000000" w:themeColor="text1"/>
          <w:sz w:val="28"/>
          <w:szCs w:val="28"/>
          <w:lang w:eastAsia="zh-CN"/>
          <w14:textFill>
            <w14:solidFill>
              <w14:schemeClr w14:val="tx1"/>
            </w14:solidFill>
          </w14:textFill>
        </w:rPr>
        <w:t>宁波宝丰冶金渣环保工程有限责任公司</w:t>
      </w:r>
    </w:p>
    <w:p>
      <w:pPr>
        <w:ind w:firstLine="5880" w:firstLineChars="2100"/>
        <w:rPr>
          <w:rFonts w:hint="default" w:ascii="Times New Roman" w:hAnsi="Times New Roman" w:eastAsia="仿宋" w:cs="Times New Roman"/>
          <w:color w:val="000000" w:themeColor="text1"/>
          <w:sz w:val="28"/>
          <w:szCs w:val="28"/>
          <w:lang w:eastAsia="zh-CN"/>
          <w14:textFill>
            <w14:solidFill>
              <w14:schemeClr w14:val="tx1"/>
            </w14:solidFill>
          </w14:textFill>
        </w:rPr>
      </w:pPr>
      <w:r>
        <w:rPr>
          <w:rFonts w:hint="default" w:ascii="Times New Roman" w:hAnsi="Times New Roman" w:eastAsia="仿宋" w:cs="Times New Roman"/>
          <w:color w:val="000000" w:themeColor="text1"/>
          <w:sz w:val="28"/>
          <w:szCs w:val="28"/>
          <w:lang w:eastAsia="zh-CN"/>
          <w14:textFill>
            <w14:solidFill>
              <w14:schemeClr w14:val="tx1"/>
            </w14:solidFill>
          </w14:textFill>
        </w:rPr>
        <w:t>2022年0</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5</w:t>
      </w:r>
      <w:r>
        <w:rPr>
          <w:rFonts w:hint="default" w:ascii="Times New Roman" w:hAnsi="Times New Roman" w:eastAsia="仿宋" w:cs="Times New Roman"/>
          <w:color w:val="000000" w:themeColor="text1"/>
          <w:sz w:val="28"/>
          <w:szCs w:val="28"/>
          <w:lang w:eastAsia="zh-CN"/>
          <w14:textFill>
            <w14:solidFill>
              <w14:schemeClr w14:val="tx1"/>
            </w14:solidFill>
          </w14:textFill>
        </w:rPr>
        <w:t>月</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24</w:t>
      </w:r>
      <w:r>
        <w:rPr>
          <w:rFonts w:hint="default" w:ascii="Times New Roman" w:hAnsi="Times New Roman" w:eastAsia="仿宋" w:cs="Times New Roman"/>
          <w:color w:val="000000" w:themeColor="text1"/>
          <w:sz w:val="28"/>
          <w:szCs w:val="28"/>
          <w:lang w:eastAsia="zh-CN"/>
          <w14:textFill>
            <w14:solidFill>
              <w14:schemeClr w14:val="tx1"/>
            </w14:solidFill>
          </w14:textFill>
        </w:rPr>
        <w:t>日</w:t>
      </w:r>
    </w:p>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11AD45"/>
    <w:multiLevelType w:val="singleLevel"/>
    <w:tmpl w:val="1811AD45"/>
    <w:lvl w:ilvl="0" w:tentative="0">
      <w:start w:val="2"/>
      <w:numFmt w:val="decimal"/>
      <w:suff w:val="nothing"/>
      <w:lvlText w:val="（%1）"/>
      <w:lvlJc w:val="left"/>
    </w:lvl>
  </w:abstractNum>
  <w:abstractNum w:abstractNumId="1">
    <w:nsid w:val="59E956C6"/>
    <w:multiLevelType w:val="singleLevel"/>
    <w:tmpl w:val="59E956C6"/>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1NzgzZGVjYWY0ZDQxYWZjYjE3ZDc3YTk2NDIzYzIifQ=="/>
  </w:docVars>
  <w:rsids>
    <w:rsidRoot w:val="002B6DB3"/>
    <w:rsid w:val="001927E2"/>
    <w:rsid w:val="001C772A"/>
    <w:rsid w:val="001F0D75"/>
    <w:rsid w:val="0026652D"/>
    <w:rsid w:val="002B6DB3"/>
    <w:rsid w:val="00376F37"/>
    <w:rsid w:val="003808D3"/>
    <w:rsid w:val="00494025"/>
    <w:rsid w:val="0050496F"/>
    <w:rsid w:val="0057032F"/>
    <w:rsid w:val="005A76AA"/>
    <w:rsid w:val="005D68B6"/>
    <w:rsid w:val="00681287"/>
    <w:rsid w:val="00703FDA"/>
    <w:rsid w:val="008634E4"/>
    <w:rsid w:val="0089747F"/>
    <w:rsid w:val="008E4614"/>
    <w:rsid w:val="00984A8C"/>
    <w:rsid w:val="009A769B"/>
    <w:rsid w:val="00AF0C8D"/>
    <w:rsid w:val="00C73E69"/>
    <w:rsid w:val="00DD2F35"/>
    <w:rsid w:val="1483115C"/>
    <w:rsid w:val="167326DF"/>
    <w:rsid w:val="1D265ED0"/>
    <w:rsid w:val="270F0C24"/>
    <w:rsid w:val="2E1C0E4D"/>
    <w:rsid w:val="397E2891"/>
    <w:rsid w:val="3E1E14C1"/>
    <w:rsid w:val="485E1399"/>
    <w:rsid w:val="494445C7"/>
    <w:rsid w:val="4E5F2F24"/>
    <w:rsid w:val="51075AB5"/>
    <w:rsid w:val="51403394"/>
    <w:rsid w:val="5D86442A"/>
    <w:rsid w:val="5F415642"/>
    <w:rsid w:val="67CF2F74"/>
    <w:rsid w:val="69271F42"/>
    <w:rsid w:val="7AFB73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Indent"/>
    <w:basedOn w:val="1"/>
    <w:qFormat/>
    <w:uiPriority w:val="0"/>
    <w:pPr>
      <w:ind w:firstLine="420"/>
    </w:pPr>
    <w:rPr>
      <w:szCs w:val="20"/>
    </w:rPr>
  </w:style>
  <w:style w:type="paragraph" w:styleId="4">
    <w:name w:val="annotation text"/>
    <w:basedOn w:val="1"/>
    <w:semiHidden/>
    <w:unhideWhenUsed/>
    <w:qFormat/>
    <w:uiPriority w:val="99"/>
    <w:pPr>
      <w:jc w:val="left"/>
    </w:pPr>
  </w:style>
  <w:style w:type="paragraph" w:styleId="5">
    <w:name w:val="Body Text Indent 2"/>
    <w:basedOn w:val="1"/>
    <w:qFormat/>
    <w:uiPriority w:val="0"/>
    <w:pPr>
      <w:ind w:firstLine="705"/>
    </w:pPr>
    <w:rPr>
      <w:rFonts w:ascii="宋体" w:hAnsi="宋体"/>
      <w:sz w:val="28"/>
    </w:rPr>
  </w:style>
  <w:style w:type="paragraph" w:styleId="6">
    <w:name w:val="Balloon Text"/>
    <w:basedOn w:val="1"/>
    <w:link w:val="16"/>
    <w:semiHidden/>
    <w:unhideWhenUsed/>
    <w:qFormat/>
    <w:uiPriority w:val="99"/>
    <w:rPr>
      <w:sz w:val="18"/>
      <w:szCs w:val="18"/>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1">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paragraph" w:customStyle="1" w:styleId="12">
    <w:name w:val="表格文字2"/>
    <w:basedOn w:val="1"/>
    <w:qFormat/>
    <w:uiPriority w:val="0"/>
    <w:pPr>
      <w:tabs>
        <w:tab w:val="left" w:pos="277"/>
        <w:tab w:val="left" w:pos="600"/>
        <w:tab w:val="left" w:pos="780"/>
        <w:tab w:val="left" w:pos="2517"/>
      </w:tabs>
      <w:adjustRightInd w:val="0"/>
      <w:spacing w:before="60"/>
      <w:jc w:val="center"/>
      <w:textAlignment w:val="baseline"/>
    </w:pPr>
    <w:rPr>
      <w:kern w:val="0"/>
    </w:rPr>
  </w:style>
  <w:style w:type="paragraph" w:customStyle="1" w:styleId="13">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4">
    <w:name w:val="页眉 Char"/>
    <w:basedOn w:val="10"/>
    <w:link w:val="8"/>
    <w:semiHidden/>
    <w:qFormat/>
    <w:uiPriority w:val="99"/>
    <w:rPr>
      <w:rFonts w:ascii="Calibri" w:hAnsi="Calibri" w:eastAsia="宋体" w:cs="Calibri"/>
      <w:kern w:val="2"/>
      <w:sz w:val="18"/>
      <w:szCs w:val="18"/>
    </w:rPr>
  </w:style>
  <w:style w:type="character" w:customStyle="1" w:styleId="15">
    <w:name w:val="页脚 Char"/>
    <w:basedOn w:val="10"/>
    <w:link w:val="7"/>
    <w:semiHidden/>
    <w:qFormat/>
    <w:uiPriority w:val="99"/>
    <w:rPr>
      <w:rFonts w:ascii="Calibri" w:hAnsi="Calibri" w:eastAsia="宋体" w:cs="Calibri"/>
      <w:kern w:val="2"/>
      <w:sz w:val="18"/>
      <w:szCs w:val="18"/>
    </w:rPr>
  </w:style>
  <w:style w:type="character" w:customStyle="1" w:styleId="16">
    <w:name w:val="批注框文本 Char"/>
    <w:basedOn w:val="10"/>
    <w:link w:val="6"/>
    <w:semiHidden/>
    <w:qFormat/>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3186</Words>
  <Characters>3368</Characters>
  <Lines>20</Lines>
  <Paragraphs>5</Paragraphs>
  <TotalTime>75</TotalTime>
  <ScaleCrop>false</ScaleCrop>
  <LinksUpToDate>false</LinksUpToDate>
  <CharactersWithSpaces>3375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2021-11-29T07:14:00Z</dcterms:created>
  <dc:creator>PC</dc:creator>
  <cp:lastModifiedBy>Kevin王二一</cp:lastModifiedBy>
  <dcterms:modified xsi:type="dcterms:W3CDTF">2022-05-25T02:45:29Z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801B4C7D24E04C6F9128986953384E35</vt:lpwstr>
  </property>
</Properties>
</file>