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仿宋" w:hAnsi="仿宋" w:eastAsia="仿宋" w:cs="仿宋"/>
          <w:b/>
          <w:bCs/>
          <w:sz w:val="36"/>
          <w:szCs w:val="36"/>
          <w:lang w:eastAsia="zh-CN"/>
        </w:rPr>
      </w:pPr>
      <w:bookmarkStart w:id="0" w:name="_GoBack"/>
      <w:r>
        <w:rPr>
          <w:rFonts w:hint="eastAsia" w:ascii="仿宋" w:hAnsi="仿宋" w:eastAsia="仿宋" w:cs="仿宋"/>
          <w:b/>
          <w:bCs/>
          <w:sz w:val="36"/>
          <w:szCs w:val="36"/>
          <w:lang w:eastAsia="zh-CN"/>
        </w:rPr>
        <w:t>宁波普立隆高分子材料有限公司</w:t>
      </w:r>
    </w:p>
    <w:p>
      <w:pPr>
        <w:adjustRightInd w:val="0"/>
        <w:snapToGrid w:val="0"/>
        <w:spacing w:line="360" w:lineRule="auto"/>
        <w:jc w:val="center"/>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年加工2万吨高分子聚酰胺塑料生产线技改项目</w:t>
      </w:r>
    </w:p>
    <w:bookmarkEnd w:id="0"/>
    <w:p>
      <w:pPr>
        <w:adjustRightInd w:val="0"/>
        <w:snapToGrid w:val="0"/>
        <w:spacing w:line="360" w:lineRule="auto"/>
        <w:jc w:val="center"/>
        <w:rPr>
          <w:rFonts w:hint="default" w:ascii="仿宋" w:hAnsi="仿宋" w:eastAsia="仿宋" w:cs="仿宋"/>
          <w:b/>
          <w:bCs/>
          <w:sz w:val="36"/>
          <w:szCs w:val="36"/>
          <w:lang w:val="en-US" w:eastAsia="zh-CN"/>
        </w:rPr>
      </w:pPr>
      <w:r>
        <w:rPr>
          <w:rFonts w:hint="eastAsia" w:ascii="仿宋" w:hAnsi="仿宋" w:eastAsia="仿宋" w:cs="仿宋"/>
          <w:b/>
          <w:bCs/>
          <w:sz w:val="36"/>
          <w:szCs w:val="36"/>
          <w:lang w:eastAsia="zh-CN"/>
        </w:rPr>
        <w:t>（第一阶段）竣工环境保护验收意见</w:t>
      </w:r>
    </w:p>
    <w:p>
      <w:pPr>
        <w:adjustRightInd w:val="0"/>
        <w:snapToGrid w:val="0"/>
        <w:spacing w:line="360" w:lineRule="auto"/>
        <w:ind w:firstLine="560" w:firstLineChars="200"/>
        <w:jc w:val="left"/>
        <w:rPr>
          <w:rFonts w:ascii="仿宋" w:hAnsi="仿宋" w:eastAsia="仿宋" w:cs="仿宋"/>
          <w:sz w:val="28"/>
          <w:szCs w:val="28"/>
        </w:rPr>
      </w:pPr>
      <w:r>
        <w:rPr>
          <w:rFonts w:hint="eastAsia" w:ascii="仿宋" w:hAnsi="仿宋" w:eastAsia="仿宋" w:cs="仿宋"/>
          <w:color w:val="auto"/>
          <w:sz w:val="28"/>
          <w:szCs w:val="28"/>
          <w:lang w:eastAsia="zh-CN"/>
        </w:rPr>
        <w:t>202</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eastAsia="zh-CN"/>
        </w:rPr>
        <w:t>年</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eastAsia="zh-CN"/>
        </w:rPr>
        <w:t>月</w:t>
      </w:r>
      <w:r>
        <w:rPr>
          <w:rFonts w:hint="eastAsia" w:ascii="仿宋" w:hAnsi="仿宋" w:eastAsia="仿宋" w:cs="仿宋"/>
          <w:color w:val="auto"/>
          <w:sz w:val="28"/>
          <w:szCs w:val="28"/>
          <w:lang w:val="en-US" w:eastAsia="zh-CN"/>
        </w:rPr>
        <w:t>31</w:t>
      </w:r>
      <w:r>
        <w:rPr>
          <w:rFonts w:hint="eastAsia" w:ascii="仿宋" w:hAnsi="仿宋" w:eastAsia="仿宋" w:cs="仿宋"/>
          <w:color w:val="auto"/>
          <w:sz w:val="28"/>
          <w:szCs w:val="28"/>
          <w:lang w:eastAsia="zh-CN"/>
        </w:rPr>
        <w:t>日，宁波普立隆高分子材料有限公司</w:t>
      </w:r>
      <w:r>
        <w:rPr>
          <w:rFonts w:hint="eastAsia" w:ascii="仿宋" w:hAnsi="仿宋" w:eastAsia="仿宋" w:cs="仿宋"/>
          <w:sz w:val="28"/>
          <w:szCs w:val="28"/>
        </w:rPr>
        <w:t>根据《</w:t>
      </w:r>
      <w:r>
        <w:rPr>
          <w:rFonts w:hint="eastAsia" w:ascii="仿宋" w:hAnsi="仿宋" w:eastAsia="仿宋" w:cs="仿宋"/>
          <w:sz w:val="28"/>
          <w:szCs w:val="28"/>
          <w:lang w:eastAsia="zh-CN"/>
        </w:rPr>
        <w:t>宁波普立隆高分子材料有限公司年加工2万吨高分子聚酰胺塑料生产线技改项目</w:t>
      </w:r>
      <w:r>
        <w:rPr>
          <w:rFonts w:hint="eastAsia" w:ascii="仿宋" w:hAnsi="仿宋" w:eastAsia="仿宋" w:cs="仿宋"/>
          <w:sz w:val="28"/>
          <w:szCs w:val="28"/>
        </w:rPr>
        <w:t>竣工环境保护验收监测报告》并对照《建设项目竣工环境保护验收暂行办法》，严格依照国家有关法律法规、建设项目竣工环境保护验收技术规范/指南、本项目环境影响评价</w:t>
      </w:r>
      <w:r>
        <w:rPr>
          <w:rFonts w:hint="eastAsia" w:ascii="仿宋" w:hAnsi="仿宋" w:eastAsia="仿宋" w:cs="仿宋"/>
          <w:sz w:val="28"/>
          <w:szCs w:val="28"/>
          <w:lang w:eastAsia="zh-CN"/>
        </w:rPr>
        <w:t>报告表</w:t>
      </w:r>
      <w:r>
        <w:rPr>
          <w:rFonts w:hint="eastAsia" w:ascii="仿宋" w:hAnsi="仿宋" w:eastAsia="仿宋" w:cs="仿宋"/>
          <w:sz w:val="28"/>
          <w:szCs w:val="28"/>
        </w:rPr>
        <w:t xml:space="preserve">和审批部门审批决定等要求对本项目进行验收，提出意见如下： </w:t>
      </w:r>
    </w:p>
    <w:p>
      <w:pPr>
        <w:numPr>
          <w:ilvl w:val="0"/>
          <w:numId w:val="1"/>
        </w:numPr>
        <w:adjustRightInd w:val="0"/>
        <w:snapToGrid w:val="0"/>
        <w:spacing w:line="360" w:lineRule="auto"/>
        <w:ind w:firstLine="562" w:firstLineChars="200"/>
        <w:rPr>
          <w:rFonts w:ascii="仿宋" w:hAnsi="仿宋" w:eastAsia="仿宋" w:cs="Times New Roman"/>
          <w:b/>
          <w:bCs/>
          <w:sz w:val="28"/>
          <w:szCs w:val="28"/>
        </w:rPr>
      </w:pPr>
      <w:r>
        <w:rPr>
          <w:rFonts w:hint="eastAsia" w:ascii="仿宋" w:hAnsi="仿宋" w:eastAsia="仿宋" w:cs="仿宋"/>
          <w:b/>
          <w:bCs/>
          <w:sz w:val="28"/>
          <w:szCs w:val="28"/>
        </w:rPr>
        <w:t>工程建设基本情况</w:t>
      </w:r>
    </w:p>
    <w:p>
      <w:pPr>
        <w:adjustRightInd w:val="0"/>
        <w:snapToGrid w:val="0"/>
        <w:spacing w:line="360" w:lineRule="auto"/>
        <w:ind w:firstLine="420" w:firstLineChars="150"/>
        <w:rPr>
          <w:rFonts w:ascii="仿宋" w:hAnsi="仿宋" w:eastAsia="仿宋" w:cs="Times New Roman"/>
          <w:sz w:val="28"/>
          <w:szCs w:val="28"/>
        </w:rPr>
      </w:pPr>
      <w:r>
        <w:rPr>
          <w:rFonts w:hint="eastAsia" w:ascii="仿宋" w:hAnsi="仿宋" w:eastAsia="仿宋" w:cs="仿宋"/>
          <w:sz w:val="28"/>
          <w:szCs w:val="28"/>
        </w:rPr>
        <w:t>（一）建设地点、规模、主要建设内容</w:t>
      </w:r>
    </w:p>
    <w:p>
      <w:pPr>
        <w:adjustRightInd w:val="0"/>
        <w:snapToGrid w:val="0"/>
        <w:spacing w:line="360" w:lineRule="auto"/>
        <w:ind w:firstLine="560" w:firstLineChars="200"/>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宁波普立隆高分子材料有限公司位于宁波市鄞州经济开发区宏围路88号，项目场地自有，厂区总面积14722平方米，年加工2万吨高分子聚酰胺塑料。</w:t>
      </w:r>
    </w:p>
    <w:p>
      <w:pPr>
        <w:adjustRightInd w:val="0"/>
        <w:snapToGrid w:val="0"/>
        <w:spacing w:line="360" w:lineRule="auto"/>
        <w:ind w:firstLine="560" w:firstLineChars="200"/>
        <w:jc w:val="left"/>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default" w:ascii="仿宋" w:hAnsi="仿宋" w:eastAsia="仿宋" w:cs="仿宋"/>
          <w:color w:val="000000" w:themeColor="text1"/>
          <w:sz w:val="28"/>
          <w:szCs w:val="28"/>
          <w:lang w:val="en-US" w:eastAsia="zh-CN"/>
          <w14:textFill>
            <w14:solidFill>
              <w14:schemeClr w14:val="tx1"/>
            </w14:solidFill>
          </w14:textFill>
        </w:rPr>
        <w:t>厂区实行雨、污分流</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kern w:val="2"/>
          <w:sz w:val="28"/>
          <w:szCs w:val="28"/>
          <w:lang w:val="en-US" w:eastAsia="zh-CN" w:bidi="ar-SA"/>
          <w14:textFill>
            <w14:solidFill>
              <w14:schemeClr w14:val="tx1"/>
            </w14:solidFill>
          </w14:textFill>
        </w:rPr>
        <w:t>本项目无生产废水产生，冷却水循环使用。生活污水经化粪池预处理达到《污水综合排放标准（GB8978-1996）中的三级标准、氨氮和总磷执行《工业企业废水氮、磷污染物间接排放限值（DB33/887-2013）后纳管进入滨海污水处理厂。滨海污水处理厂处理达到《城镇污水处理厂污染物排放标准》（GB18918-2002）中的一级A标准及《城镇污水处理厂污染物排放标准》（DB33/2169-2018）标准后排入永安河。</w:t>
      </w:r>
    </w:p>
    <w:p>
      <w:pPr>
        <w:pStyle w:val="12"/>
        <w:ind w:firstLine="560" w:firstLineChars="200"/>
        <w:rPr>
          <w:rFonts w:hint="default" w:ascii="仿宋" w:hAnsi="仿宋" w:eastAsia="仿宋" w:cs="仿宋"/>
          <w:kern w:val="0"/>
          <w:sz w:val="28"/>
          <w:szCs w:val="28"/>
          <w:lang w:val="en-US" w:eastAsia="zh-CN"/>
        </w:rPr>
      </w:pPr>
      <w:r>
        <w:rPr>
          <w:rFonts w:hint="eastAsia" w:ascii="仿宋" w:hAnsi="仿宋" w:eastAsia="仿宋" w:cs="仿宋"/>
          <w:color w:val="000000" w:themeColor="text1"/>
          <w:sz w:val="28"/>
          <w:szCs w:val="28"/>
          <w:lang w:eastAsia="zh-CN"/>
          <w14:textFill>
            <w14:solidFill>
              <w14:schemeClr w14:val="tx1"/>
            </w14:solidFill>
          </w14:textFill>
        </w:rPr>
        <w:t>（二）</w:t>
      </w:r>
      <w:r>
        <w:rPr>
          <w:rFonts w:hint="eastAsia" w:ascii="仿宋" w:hAnsi="仿宋" w:eastAsia="仿宋" w:cs="仿宋"/>
          <w:color w:val="000000" w:themeColor="text1"/>
          <w:sz w:val="28"/>
          <w:szCs w:val="28"/>
          <w14:textFill>
            <w14:solidFill>
              <w14:schemeClr w14:val="tx1"/>
            </w14:solidFill>
          </w14:textFill>
        </w:rPr>
        <w:t>建设过程及</w:t>
      </w:r>
      <w:r>
        <w:rPr>
          <w:rFonts w:hint="eastAsia" w:ascii="仿宋" w:hAnsi="仿宋" w:eastAsia="仿宋" w:cs="仿宋"/>
          <w:color w:val="000000" w:themeColor="text1"/>
          <w:kern w:val="2"/>
          <w:sz w:val="28"/>
          <w:szCs w:val="28"/>
          <w:lang w:val="en-US" w:eastAsia="zh-CN" w:bidi="ar-SA"/>
          <w14:textFill>
            <w14:solidFill>
              <w14:schemeClr w14:val="tx1"/>
            </w14:solidFill>
          </w14:textFill>
        </w:rPr>
        <w:t>环保审批情况</w:t>
      </w:r>
    </w:p>
    <w:p>
      <w:pPr>
        <w:spacing w:line="360" w:lineRule="auto"/>
        <w:ind w:firstLine="560" w:firstLineChars="200"/>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企业于2022年3月委托宁波市树泰环境技术有限公司编制了“宁波普立隆高分子材料有限公司年加工2万吨高分子聚酰胺塑料生产线技改项目”环境影响报告表，于2022年4月14日得到宁波市生态环境局鄞州分局出具的关于《宁波普立隆高分子材料有限公司年加工2万吨高分子聚酰胺塑料生产线技改项目环境影响报告表》的批复，批复号：鄞环建【2022】40号。</w:t>
      </w:r>
    </w:p>
    <w:p>
      <w:pPr>
        <w:adjustRightInd w:val="0"/>
        <w:snapToGrid w:val="0"/>
        <w:spacing w:line="360" w:lineRule="auto"/>
        <w:ind w:firstLine="560" w:firstLineChars="200"/>
        <w:jc w:val="left"/>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 xml:space="preserve">对照《固定污染源排污许可分类管理名录（2019年版）》，本 </w:t>
      </w:r>
    </w:p>
    <w:p>
      <w:pPr>
        <w:adjustRightInd w:val="0"/>
        <w:snapToGrid w:val="0"/>
        <w:spacing w:line="360" w:lineRule="auto"/>
        <w:jc w:val="left"/>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项目属于</w:t>
      </w:r>
      <w:r>
        <w:rPr>
          <w:rFonts w:hint="default" w:ascii="仿宋" w:hAnsi="仿宋" w:eastAsia="仿宋" w:cs="仿宋"/>
          <w:color w:val="auto"/>
          <w:kern w:val="0"/>
          <w:sz w:val="28"/>
          <w:szCs w:val="28"/>
          <w:lang w:val="en-US" w:eastAsia="zh-CN"/>
        </w:rPr>
        <w:t>“</w:t>
      </w:r>
      <w:r>
        <w:rPr>
          <w:rFonts w:hint="eastAsia" w:ascii="仿宋" w:hAnsi="仿宋" w:eastAsia="仿宋" w:cs="仿宋"/>
          <w:color w:val="auto"/>
          <w:kern w:val="0"/>
          <w:sz w:val="28"/>
          <w:szCs w:val="28"/>
          <w:lang w:val="en-US" w:eastAsia="zh-CN"/>
        </w:rPr>
        <w:t>二十四</w:t>
      </w:r>
      <w:r>
        <w:rPr>
          <w:rFonts w:hint="default" w:ascii="仿宋" w:hAnsi="仿宋" w:eastAsia="仿宋" w:cs="仿宋"/>
          <w:color w:val="auto"/>
          <w:kern w:val="0"/>
          <w:sz w:val="28"/>
          <w:szCs w:val="28"/>
          <w:lang w:val="en-US" w:eastAsia="zh-CN"/>
        </w:rPr>
        <w:t>、</w:t>
      </w:r>
      <w:r>
        <w:rPr>
          <w:rFonts w:hint="eastAsia" w:ascii="仿宋" w:hAnsi="仿宋" w:eastAsia="仿宋" w:cs="仿宋"/>
          <w:color w:val="auto"/>
          <w:kern w:val="0"/>
          <w:sz w:val="28"/>
          <w:szCs w:val="28"/>
          <w:lang w:val="en-US" w:eastAsia="zh-CN"/>
        </w:rPr>
        <w:t>橡胶和塑料制品业29-62</w:t>
      </w:r>
      <w:r>
        <w:rPr>
          <w:rFonts w:hint="default" w:ascii="仿宋" w:hAnsi="仿宋" w:eastAsia="仿宋" w:cs="仿宋"/>
          <w:color w:val="auto"/>
          <w:kern w:val="0"/>
          <w:sz w:val="28"/>
          <w:szCs w:val="28"/>
          <w:lang w:val="en-US" w:eastAsia="zh-CN"/>
        </w:rPr>
        <w:t>、</w:t>
      </w:r>
      <w:r>
        <w:rPr>
          <w:rFonts w:hint="eastAsia" w:ascii="仿宋" w:hAnsi="仿宋" w:eastAsia="仿宋" w:cs="仿宋"/>
          <w:color w:val="auto"/>
          <w:kern w:val="0"/>
          <w:sz w:val="28"/>
          <w:szCs w:val="28"/>
          <w:lang w:val="en-US" w:eastAsia="zh-CN"/>
        </w:rPr>
        <w:t>塑料制品业292-年产 1 万吨及以上涉及改性的塑料零件及其他塑料制品制造 2929</w:t>
      </w:r>
      <w:r>
        <w:rPr>
          <w:rFonts w:hint="default" w:ascii="仿宋" w:hAnsi="仿宋" w:eastAsia="仿宋" w:cs="仿宋"/>
          <w:color w:val="auto"/>
          <w:kern w:val="0"/>
          <w:sz w:val="28"/>
          <w:szCs w:val="28"/>
          <w:lang w:val="en-US" w:eastAsia="zh-CN"/>
        </w:rPr>
        <w:t>”，属于实施</w:t>
      </w:r>
      <w:r>
        <w:rPr>
          <w:rFonts w:hint="eastAsia" w:ascii="仿宋" w:hAnsi="仿宋" w:eastAsia="仿宋" w:cs="仿宋"/>
          <w:color w:val="auto"/>
          <w:kern w:val="0"/>
          <w:sz w:val="28"/>
          <w:szCs w:val="28"/>
          <w:lang w:val="en-US" w:eastAsia="zh-CN"/>
        </w:rPr>
        <w:t>简化</w:t>
      </w:r>
      <w:r>
        <w:rPr>
          <w:rFonts w:hint="default" w:ascii="仿宋" w:hAnsi="仿宋" w:eastAsia="仿宋" w:cs="仿宋"/>
          <w:color w:val="auto"/>
          <w:kern w:val="0"/>
          <w:sz w:val="28"/>
          <w:szCs w:val="28"/>
          <w:lang w:val="en-US" w:eastAsia="zh-CN"/>
        </w:rPr>
        <w:t>管理的排污</w:t>
      </w:r>
      <w:r>
        <w:rPr>
          <w:rFonts w:hint="eastAsia" w:ascii="仿宋" w:hAnsi="仿宋" w:eastAsia="仿宋" w:cs="仿宋"/>
          <w:color w:val="auto"/>
          <w:kern w:val="0"/>
          <w:sz w:val="28"/>
          <w:szCs w:val="28"/>
          <w:lang w:val="en-US" w:eastAsia="zh-CN"/>
        </w:rPr>
        <w:t>单</w:t>
      </w:r>
      <w:r>
        <w:rPr>
          <w:rFonts w:hint="default" w:ascii="仿宋" w:hAnsi="仿宋" w:eastAsia="仿宋" w:cs="仿宋"/>
          <w:color w:val="auto"/>
          <w:kern w:val="0"/>
          <w:sz w:val="28"/>
          <w:szCs w:val="28"/>
          <w:lang w:val="en-US" w:eastAsia="zh-CN"/>
        </w:rPr>
        <w:t>位。</w:t>
      </w:r>
      <w:r>
        <w:rPr>
          <w:rFonts w:hint="eastAsia" w:ascii="仿宋" w:hAnsi="仿宋" w:eastAsia="仿宋" w:cs="仿宋"/>
          <w:color w:val="auto"/>
          <w:kern w:val="0"/>
          <w:sz w:val="28"/>
          <w:szCs w:val="28"/>
          <w:lang w:val="en-US" w:eastAsia="zh-CN"/>
        </w:rPr>
        <w:t>已按要求进行排污登记（登记编号：</w:t>
      </w:r>
      <w:r>
        <w:rPr>
          <w:rFonts w:hint="default" w:ascii="仿宋" w:hAnsi="仿宋" w:eastAsia="仿宋" w:cs="仿宋"/>
          <w:color w:val="auto"/>
          <w:kern w:val="0"/>
          <w:sz w:val="28"/>
          <w:szCs w:val="28"/>
          <w:lang w:val="en-US" w:eastAsia="zh-CN"/>
        </w:rPr>
        <w:t>91330212</w:t>
      </w:r>
      <w:r>
        <w:rPr>
          <w:rFonts w:hint="eastAsia" w:ascii="仿宋" w:hAnsi="仿宋" w:eastAsia="仿宋" w:cs="仿宋"/>
          <w:color w:val="auto"/>
          <w:kern w:val="0"/>
          <w:sz w:val="28"/>
          <w:szCs w:val="28"/>
          <w:lang w:val="en-US" w:eastAsia="zh-CN"/>
        </w:rPr>
        <w:t>3090103389001P</w:t>
      </w:r>
      <w:r>
        <w:rPr>
          <w:rFonts w:hint="eastAsia" w:ascii="仿宋" w:hAnsi="仿宋" w:eastAsia="仿宋" w:cs="仿宋"/>
          <w:color w:val="auto"/>
          <w:kern w:val="0"/>
          <w:sz w:val="28"/>
          <w:szCs w:val="28"/>
          <w:lang w:val="en-US" w:eastAsia="zh-CN"/>
        </w:rPr>
        <w:t>）。</w:t>
      </w:r>
    </w:p>
    <w:p>
      <w:pPr>
        <w:adjustRightInd w:val="0"/>
        <w:snapToGrid w:val="0"/>
        <w:spacing w:line="360" w:lineRule="auto"/>
        <w:ind w:firstLine="560" w:firstLineChars="200"/>
        <w:rPr>
          <w:rFonts w:ascii="仿宋" w:hAnsi="仿宋" w:eastAsia="仿宋" w:cs="Times New Roman"/>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（三）投资情况</w:t>
      </w:r>
    </w:p>
    <w:p>
      <w:pPr>
        <w:adjustRightInd w:val="0"/>
        <w:snapToGrid w:val="0"/>
        <w:spacing w:line="360" w:lineRule="auto"/>
        <w:ind w:firstLine="560" w:firstLineChars="200"/>
        <w:rPr>
          <w:rFonts w:ascii="仿宋" w:hAnsi="仿宋" w:eastAsia="仿宋" w:cs="Times New Roman"/>
          <w:color w:val="FF0000"/>
          <w:sz w:val="28"/>
          <w:szCs w:val="28"/>
        </w:rPr>
      </w:pPr>
      <w:r>
        <w:rPr>
          <w:rFonts w:hint="eastAsia" w:ascii="仿宋" w:hAnsi="仿宋" w:eastAsia="仿宋" w:cs="仿宋"/>
          <w:color w:val="000000" w:themeColor="text1"/>
          <w:sz w:val="28"/>
          <w:szCs w:val="28"/>
          <w14:textFill>
            <w14:solidFill>
              <w14:schemeClr w14:val="tx1"/>
            </w14:solidFill>
          </w14:textFill>
        </w:rPr>
        <w:t>本次验</w:t>
      </w:r>
      <w:r>
        <w:rPr>
          <w:rFonts w:hint="eastAsia" w:ascii="仿宋" w:hAnsi="仿宋" w:eastAsia="仿宋" w:cs="仿宋"/>
          <w:color w:val="000000" w:themeColor="text1"/>
          <w:sz w:val="28"/>
          <w:szCs w:val="28"/>
          <w:lang w:eastAsia="zh-CN"/>
          <w14:textFill>
            <w14:solidFill>
              <w14:schemeClr w14:val="tx1"/>
            </w14:solidFill>
          </w14:textFill>
        </w:rPr>
        <w:t>收的《宁波普立隆高分子材料有限公司年加工2万吨高分子聚酰胺塑料生产线技改项目》</w:t>
      </w:r>
      <w:r>
        <w:rPr>
          <w:rFonts w:hint="eastAsia" w:ascii="仿宋" w:hAnsi="仿宋" w:eastAsia="仿宋" w:cs="仿宋"/>
          <w:color w:val="000000" w:themeColor="text1"/>
          <w:sz w:val="28"/>
          <w:szCs w:val="28"/>
          <w:lang w:val="en-US" w:eastAsia="zh-CN"/>
          <w14:textFill>
            <w14:solidFill>
              <w14:schemeClr w14:val="tx1"/>
            </w14:solidFill>
          </w14:textFill>
        </w:rPr>
        <w:t>一期工程</w:t>
      </w:r>
      <w:r>
        <w:rPr>
          <w:rFonts w:hint="eastAsia" w:ascii="仿宋" w:hAnsi="仿宋" w:eastAsia="仿宋" w:cs="仿宋"/>
          <w:color w:val="000000" w:themeColor="text1"/>
          <w:sz w:val="28"/>
          <w:szCs w:val="28"/>
          <w:lang w:eastAsia="zh-CN"/>
          <w14:textFill>
            <w14:solidFill>
              <w14:schemeClr w14:val="tx1"/>
            </w14:solidFill>
          </w14:textFill>
        </w:rPr>
        <w:t>总投资约</w:t>
      </w:r>
      <w:r>
        <w:rPr>
          <w:rFonts w:hint="eastAsia" w:ascii="仿宋" w:hAnsi="仿宋" w:eastAsia="仿宋" w:cs="仿宋"/>
          <w:color w:val="000000" w:themeColor="text1"/>
          <w:sz w:val="28"/>
          <w:szCs w:val="28"/>
          <w:lang w:val="en-US" w:eastAsia="zh-CN"/>
          <w14:textFill>
            <w14:solidFill>
              <w14:schemeClr w14:val="tx1"/>
            </w14:solidFill>
          </w14:textFill>
        </w:rPr>
        <w:t xml:space="preserve"> 1400</w:t>
      </w:r>
      <w:r>
        <w:rPr>
          <w:rFonts w:hint="eastAsia" w:ascii="仿宋" w:hAnsi="仿宋" w:eastAsia="仿宋" w:cs="仿宋"/>
          <w:color w:val="000000" w:themeColor="text1"/>
          <w:sz w:val="28"/>
          <w:szCs w:val="28"/>
          <w:lang w:eastAsia="zh-CN"/>
          <w14:textFill>
            <w14:solidFill>
              <w14:schemeClr w14:val="tx1"/>
            </w14:solidFill>
          </w14:textFill>
        </w:rPr>
        <w:t>万元，其中环保投资</w:t>
      </w:r>
      <w:r>
        <w:rPr>
          <w:rFonts w:hint="eastAsia" w:ascii="仿宋" w:hAnsi="仿宋" w:eastAsia="仿宋" w:cs="仿宋"/>
          <w:color w:val="000000" w:themeColor="text1"/>
          <w:sz w:val="28"/>
          <w:szCs w:val="28"/>
          <w:lang w:val="en-US" w:eastAsia="zh-CN"/>
          <w14:textFill>
            <w14:solidFill>
              <w14:schemeClr w14:val="tx1"/>
            </w14:solidFill>
          </w14:textFill>
        </w:rPr>
        <w:t>55</w:t>
      </w:r>
      <w:r>
        <w:rPr>
          <w:rFonts w:hint="eastAsia" w:ascii="仿宋" w:hAnsi="仿宋" w:eastAsia="仿宋" w:cs="仿宋"/>
          <w:color w:val="000000" w:themeColor="text1"/>
          <w:sz w:val="28"/>
          <w:szCs w:val="28"/>
          <w:lang w:eastAsia="zh-CN"/>
          <w14:textFill>
            <w14:solidFill>
              <w14:schemeClr w14:val="tx1"/>
            </w14:solidFill>
          </w14:textFill>
        </w:rPr>
        <w:t>万元。</w:t>
      </w:r>
    </w:p>
    <w:p>
      <w:pPr>
        <w:adjustRightInd w:val="0"/>
        <w:snapToGrid w:val="0"/>
        <w:spacing w:line="360" w:lineRule="auto"/>
        <w:ind w:firstLine="560"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（四）验收范围</w:t>
      </w:r>
    </w:p>
    <w:p>
      <w:pPr>
        <w:adjustRightInd w:val="0"/>
        <w:snapToGrid w:val="0"/>
        <w:spacing w:line="360" w:lineRule="auto"/>
        <w:ind w:firstLine="560" w:firstLineChars="20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本次验收范围为宁波普立隆高分子材料有限公司年加工2万吨高分子聚酰胺塑料生产线技改项目</w:t>
      </w:r>
      <w:r>
        <w:rPr>
          <w:rFonts w:hint="eastAsia" w:ascii="仿宋" w:hAnsi="仿宋" w:eastAsia="仿宋" w:cs="仿宋"/>
          <w:color w:val="000000" w:themeColor="text1"/>
          <w:sz w:val="28"/>
          <w:szCs w:val="28"/>
          <w:lang w:val="en-US" w:eastAsia="zh-CN"/>
          <w14:textFill>
            <w14:solidFill>
              <w14:schemeClr w14:val="tx1"/>
            </w14:solidFill>
          </w14:textFill>
        </w:rPr>
        <w:t>一期工程阶段性</w:t>
      </w:r>
      <w:r>
        <w:rPr>
          <w:rFonts w:hint="eastAsia" w:ascii="仿宋" w:hAnsi="仿宋" w:eastAsia="仿宋" w:cs="仿宋"/>
          <w:color w:val="000000" w:themeColor="text1"/>
          <w:sz w:val="28"/>
          <w:szCs w:val="28"/>
          <w:lang w:eastAsia="zh-CN"/>
          <w14:textFill>
            <w14:solidFill>
              <w14:schemeClr w14:val="tx1"/>
            </w14:solidFill>
          </w14:textFill>
        </w:rPr>
        <w:t>验收（年加工</w:t>
      </w:r>
      <w:r>
        <w:rPr>
          <w:rFonts w:hint="eastAsia" w:ascii="仿宋" w:hAnsi="仿宋" w:eastAsia="仿宋" w:cs="仿宋"/>
          <w:color w:val="000000" w:themeColor="text1"/>
          <w:sz w:val="28"/>
          <w:szCs w:val="28"/>
          <w:lang w:val="en-US" w:eastAsia="zh-CN"/>
          <w14:textFill>
            <w14:solidFill>
              <w14:schemeClr w14:val="tx1"/>
            </w14:solidFill>
          </w14:textFill>
        </w:rPr>
        <w:t>1.4</w:t>
      </w:r>
      <w:r>
        <w:rPr>
          <w:rFonts w:hint="eastAsia" w:ascii="仿宋" w:hAnsi="仿宋" w:eastAsia="仿宋" w:cs="仿宋"/>
          <w:color w:val="000000" w:themeColor="text1"/>
          <w:sz w:val="28"/>
          <w:szCs w:val="28"/>
          <w:lang w:eastAsia="zh-CN"/>
          <w14:textFill>
            <w14:solidFill>
              <w14:schemeClr w14:val="tx1"/>
            </w14:solidFill>
          </w14:textFill>
        </w:rPr>
        <w:t>万吨高分子聚酰胺塑料）。</w:t>
      </w:r>
    </w:p>
    <w:p>
      <w:pPr>
        <w:adjustRightInd w:val="0"/>
        <w:snapToGrid w:val="0"/>
        <w:spacing w:line="360" w:lineRule="auto"/>
        <w:ind w:firstLine="551" w:firstLineChars="196"/>
        <w:rPr>
          <w:rFonts w:ascii="仿宋" w:hAnsi="仿宋" w:eastAsia="仿宋" w:cs="Times New Roman"/>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二、工程变动情况</w:t>
      </w:r>
    </w:p>
    <w:p>
      <w:pPr>
        <w:spacing w:line="336" w:lineRule="auto"/>
        <w:ind w:firstLine="56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经现场核查，项目部分生产设备暂未建设完全，环评报告核定主要生产设备</w:t>
      </w:r>
      <w:r>
        <w:rPr>
          <w:rFonts w:hint="default" w:ascii="仿宋" w:hAnsi="仿宋" w:eastAsia="仿宋" w:cs="仿宋"/>
          <w:color w:val="000000" w:themeColor="text1"/>
          <w:sz w:val="28"/>
          <w:szCs w:val="28"/>
          <w:lang w:val="en-US" w:eastAsia="zh-CN"/>
          <w14:textFill>
            <w14:solidFill>
              <w14:schemeClr w14:val="tx1"/>
            </w14:solidFill>
          </w14:textFill>
        </w:rPr>
        <w:t>双螺杆挤出机</w:t>
      </w:r>
      <w:r>
        <w:rPr>
          <w:rFonts w:hint="eastAsia" w:ascii="仿宋" w:hAnsi="仿宋" w:eastAsia="仿宋" w:cs="仿宋"/>
          <w:color w:val="000000" w:themeColor="text1"/>
          <w:sz w:val="28"/>
          <w:szCs w:val="28"/>
          <w:lang w:val="en-US" w:eastAsia="zh-CN"/>
          <w14:textFill>
            <w14:solidFill>
              <w14:schemeClr w14:val="tx1"/>
            </w14:solidFill>
          </w14:textFill>
        </w:rPr>
        <w:t>10台，一阶段实际建设为</w:t>
      </w:r>
      <w:r>
        <w:rPr>
          <w:rFonts w:hint="default" w:ascii="仿宋" w:hAnsi="仿宋" w:eastAsia="仿宋" w:cs="仿宋"/>
          <w:color w:val="000000" w:themeColor="text1"/>
          <w:sz w:val="28"/>
          <w:szCs w:val="28"/>
          <w:lang w:val="en-US" w:eastAsia="zh-CN"/>
          <w14:textFill>
            <w14:solidFill>
              <w14:schemeClr w14:val="tx1"/>
            </w14:solidFill>
          </w14:textFill>
        </w:rPr>
        <w:t>双螺杆挤出机</w:t>
      </w:r>
      <w:r>
        <w:rPr>
          <w:rFonts w:hint="eastAsia" w:ascii="仿宋" w:hAnsi="仿宋" w:eastAsia="仿宋" w:cs="仿宋"/>
          <w:color w:val="000000" w:themeColor="text1"/>
          <w:sz w:val="28"/>
          <w:szCs w:val="28"/>
          <w:lang w:val="en-US" w:eastAsia="zh-CN"/>
          <w14:textFill>
            <w14:solidFill>
              <w14:schemeClr w14:val="tx1"/>
            </w14:solidFill>
          </w14:textFill>
        </w:rPr>
        <w:t>7台。其他建设内容及配套环保设施与项目《环境影响报告表》及其批复基本一致。</w:t>
      </w:r>
    </w:p>
    <w:p>
      <w:pPr>
        <w:adjustRightInd w:val="0"/>
        <w:snapToGrid w:val="0"/>
        <w:spacing w:line="360" w:lineRule="auto"/>
        <w:ind w:firstLine="562" w:firstLineChars="200"/>
        <w:rPr>
          <w:rFonts w:ascii="仿宋" w:hAnsi="仿宋" w:eastAsia="仿宋" w:cs="Times New Roman"/>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三、环境保护设施建设情况</w:t>
      </w:r>
    </w:p>
    <w:p>
      <w:pPr>
        <w:adjustRightInd w:val="0"/>
        <w:snapToGrid w:val="0"/>
        <w:spacing w:line="360" w:lineRule="auto"/>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（一）废气</w:t>
      </w:r>
    </w:p>
    <w:p>
      <w:pPr>
        <w:adjustRightInd w:val="0"/>
        <w:snapToGrid w:val="0"/>
        <w:spacing w:line="360" w:lineRule="auto"/>
        <w:ind w:firstLine="560" w:firstLineChars="200"/>
        <w:rPr>
          <w:rFonts w:hint="default" w:ascii="仿宋" w:hAnsi="仿宋" w:eastAsia="仿宋" w:cs="仿宋"/>
          <w:kern w:val="0"/>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1、挤出废气</w:t>
      </w:r>
    </w:p>
    <w:p>
      <w:pPr>
        <w:adjustRightInd w:val="0"/>
        <w:snapToGrid w:val="0"/>
        <w:spacing w:line="360" w:lineRule="auto"/>
        <w:ind w:firstLine="560" w:firstLineChars="200"/>
        <w:rPr>
          <w:rFonts w:hint="eastAsia" w:ascii="仿宋" w:hAnsi="仿宋" w:eastAsia="仿宋" w:cs="仿宋"/>
          <w:kern w:val="0"/>
          <w:sz w:val="28"/>
          <w:szCs w:val="28"/>
          <w:lang w:val="en-US" w:eastAsia="zh-CN"/>
        </w:rPr>
      </w:pPr>
      <w:r>
        <w:rPr>
          <w:rFonts w:hint="eastAsia" w:ascii="仿宋" w:hAnsi="仿宋" w:eastAsia="仿宋" w:cs="仿宋"/>
          <w:color w:val="000000" w:themeColor="text1"/>
          <w:sz w:val="28"/>
          <w:szCs w:val="28"/>
          <w:lang w:val="en-US" w:eastAsia="zh-CN"/>
          <w14:textFill>
            <w14:solidFill>
              <w14:schemeClr w14:val="tx1"/>
            </w14:solidFill>
          </w14:textFill>
        </w:rPr>
        <w:t>收集后的废气经“过滤棉+高压等离子静电吸附+活性炭吸附”后通过15m排气筒排放。</w:t>
      </w:r>
    </w:p>
    <w:p>
      <w:pPr>
        <w:adjustRightInd w:val="0"/>
        <w:snapToGrid w:val="0"/>
        <w:spacing w:line="360" w:lineRule="auto"/>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2、拌混料/粉碎粉尘</w:t>
      </w:r>
    </w:p>
    <w:p>
      <w:pPr>
        <w:adjustRightInd w:val="0"/>
        <w:snapToGrid w:val="0"/>
        <w:spacing w:line="360" w:lineRule="auto"/>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default" w:ascii="仿宋" w:hAnsi="仿宋" w:eastAsia="仿宋" w:cs="仿宋"/>
          <w:color w:val="000000" w:themeColor="text1"/>
          <w:sz w:val="28"/>
          <w:szCs w:val="28"/>
          <w:lang w:val="en-US" w:eastAsia="zh-CN"/>
          <w14:textFill>
            <w14:solidFill>
              <w14:schemeClr w14:val="tx1"/>
            </w14:solidFill>
          </w14:textFill>
        </w:rPr>
        <w:t>本项目原料混合及粉碎设备位于独立封闭车间且混合及粉碎过程均在密闭仓内进行</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无组织排放，采取</w:t>
      </w:r>
      <w:r>
        <w:rPr>
          <w:rFonts w:hint="eastAsia" w:ascii="仿宋" w:hAnsi="仿宋" w:eastAsia="仿宋" w:cs="仿宋"/>
          <w:color w:val="auto"/>
          <w:sz w:val="28"/>
          <w:szCs w:val="28"/>
        </w:rPr>
        <w:t>加强车间通风</w:t>
      </w:r>
      <w:r>
        <w:rPr>
          <w:rFonts w:hint="eastAsia" w:ascii="仿宋" w:hAnsi="仿宋" w:eastAsia="仿宋" w:cs="仿宋"/>
          <w:color w:val="auto"/>
          <w:sz w:val="28"/>
          <w:szCs w:val="28"/>
          <w:lang w:val="en-US" w:eastAsia="zh-CN"/>
        </w:rPr>
        <w:t>措施</w:t>
      </w:r>
      <w:r>
        <w:rPr>
          <w:rFonts w:hint="eastAsia" w:ascii="仿宋" w:hAnsi="仿宋" w:eastAsia="仿宋" w:cs="仿宋"/>
          <w:color w:val="auto"/>
          <w:sz w:val="28"/>
          <w:szCs w:val="28"/>
          <w:lang w:eastAsia="zh-CN"/>
        </w:rPr>
        <w:t>。</w:t>
      </w:r>
    </w:p>
    <w:p>
      <w:pPr>
        <w:pStyle w:val="12"/>
        <w:numPr>
          <w:ilvl w:val="0"/>
          <w:numId w:val="0"/>
        </w:numPr>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（二）废水</w:t>
      </w:r>
    </w:p>
    <w:p>
      <w:pPr>
        <w:adjustRightInd w:val="0"/>
        <w:snapToGrid w:val="0"/>
        <w:spacing w:line="360" w:lineRule="auto"/>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default" w:ascii="仿宋" w:hAnsi="仿宋" w:eastAsia="仿宋" w:cs="仿宋"/>
          <w:color w:val="000000" w:themeColor="text1"/>
          <w:sz w:val="28"/>
          <w:szCs w:val="28"/>
          <w:lang w:val="en-US" w:eastAsia="zh-CN"/>
          <w14:textFill>
            <w14:solidFill>
              <w14:schemeClr w14:val="tx1"/>
            </w14:solidFill>
          </w14:textFill>
        </w:rPr>
        <w:t>本项目无生产废水产生，冷却水循环使用。生活污水经化粪池预处理达到《污水综合排放标准（GB8978-1996）中的三级标准、氨氮和总磷执行《工业企业废水氮、磷污染物间接排放限值（DB33/887-2013）后纳管进入滨海污水处理厂。滨海污水处理厂处理达到《城镇污水处理厂污染物排放标准》（GB18918-2002）中的一级A标准及《城镇污水处理厂污染物排放标准》（DB33/2169-2018）标准后排入永安河。</w:t>
      </w:r>
    </w:p>
    <w:p>
      <w:pPr>
        <w:adjustRightInd w:val="0"/>
        <w:snapToGrid w:val="0"/>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（三）噪声</w:t>
      </w:r>
    </w:p>
    <w:p>
      <w:pPr>
        <w:adjustRightInd w:val="0"/>
        <w:snapToGrid w:val="0"/>
        <w:spacing w:line="360" w:lineRule="auto"/>
        <w:ind w:firstLine="560" w:firstLineChars="200"/>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本项目主要噪声为车间生产加工以及废气处理风机等辅助设备产生的噪声等，针对各类设备噪声，已采取了隔声、减振、消声等措施。</w:t>
      </w:r>
    </w:p>
    <w:p>
      <w:pPr>
        <w:adjustRightInd w:val="0"/>
        <w:snapToGrid w:val="0"/>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（四）固体废物</w:t>
      </w:r>
    </w:p>
    <w:p>
      <w:pPr>
        <w:widowControl/>
        <w:snapToGrid w:val="0"/>
        <w:spacing w:line="360" w:lineRule="auto"/>
        <w:ind w:firstLine="560" w:firstLineChars="200"/>
        <w:rPr>
          <w:rFonts w:hint="eastAsia"/>
          <w:color w:val="auto"/>
          <w:lang w:eastAsia="zh-CN"/>
        </w:rPr>
      </w:pPr>
      <w:r>
        <w:rPr>
          <w:rFonts w:hint="default" w:ascii="仿宋" w:hAnsi="仿宋" w:eastAsia="仿宋" w:cs="仿宋"/>
          <w:color w:val="auto"/>
          <w:kern w:val="0"/>
          <w:sz w:val="28"/>
          <w:szCs w:val="28"/>
          <w:lang w:val="en-US" w:eastAsia="zh-CN"/>
        </w:rPr>
        <w:t>本项目的固废主要为废包装袋、废活性炭和生活垃圾。废包装袋属于一般废物，废活性炭属于危险废物，均委托宁波市隆欣环境科技有限公司收集转运；生活垃圾委托环卫部门清运。</w:t>
      </w:r>
    </w:p>
    <w:p>
      <w:pPr>
        <w:adjustRightInd w:val="0"/>
        <w:snapToGrid w:val="0"/>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（五）辐射</w:t>
      </w:r>
    </w:p>
    <w:p>
      <w:pPr>
        <w:adjustRightInd w:val="0"/>
        <w:snapToGrid w:val="0"/>
        <w:spacing w:line="360" w:lineRule="auto"/>
        <w:ind w:left="420" w:left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本项目无辐射源。</w:t>
      </w:r>
    </w:p>
    <w:p>
      <w:pPr>
        <w:numPr>
          <w:ilvl w:val="0"/>
          <w:numId w:val="2"/>
        </w:numPr>
        <w:adjustRightInd w:val="0"/>
        <w:snapToGrid w:val="0"/>
        <w:spacing w:line="360" w:lineRule="auto"/>
        <w:ind w:firstLine="420" w:firstLineChars="15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其他环境保护设施</w:t>
      </w:r>
    </w:p>
    <w:p>
      <w:pPr>
        <w:adjustRightInd w:val="0"/>
        <w:snapToGrid w:val="0"/>
        <w:spacing w:line="360" w:lineRule="auto"/>
        <w:ind w:firstLine="560" w:firstLineChars="200"/>
        <w:jc w:val="left"/>
        <w:rPr>
          <w:rFonts w:hint="eastAsia" w:ascii="仿宋" w:hAnsi="仿宋" w:eastAsia="仿宋" w:cs="仿宋"/>
          <w:color w:val="000000" w:themeColor="text1"/>
          <w:kern w:val="0"/>
          <w:sz w:val="28"/>
          <w:szCs w:val="28"/>
          <w:lang w:val="en-US" w:eastAsia="zh-CN"/>
          <w14:textFill>
            <w14:solidFill>
              <w14:schemeClr w14:val="tx1"/>
            </w14:solidFill>
          </w14:textFill>
        </w:rPr>
      </w:pPr>
      <w:r>
        <w:rPr>
          <w:rFonts w:hint="eastAsia" w:ascii="仿宋" w:hAnsi="仿宋" w:eastAsia="仿宋" w:cs="仿宋"/>
          <w:color w:val="000000" w:themeColor="text1"/>
          <w:kern w:val="0"/>
          <w:sz w:val="28"/>
          <w:szCs w:val="28"/>
          <w:lang w:val="en-US" w:eastAsia="zh-CN"/>
          <w14:textFill>
            <w14:solidFill>
              <w14:schemeClr w14:val="tx1"/>
            </w14:solidFill>
          </w14:textFill>
        </w:rPr>
        <w:t>1、环境风险防范设施</w:t>
      </w:r>
    </w:p>
    <w:p>
      <w:pPr>
        <w:adjustRightInd w:val="0"/>
        <w:snapToGrid w:val="0"/>
        <w:spacing w:line="360" w:lineRule="auto"/>
        <w:ind w:firstLine="560" w:firstLineChars="200"/>
        <w:jc w:val="left"/>
        <w:rPr>
          <w:rFonts w:hint="eastAsia" w:ascii="仿宋" w:hAnsi="仿宋" w:eastAsia="仿宋" w:cs="仿宋"/>
          <w:color w:val="000000" w:themeColor="text1"/>
          <w:kern w:val="0"/>
          <w:sz w:val="28"/>
          <w:szCs w:val="28"/>
          <w:lang w:eastAsia="zh-CN"/>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环境风险防范设施《项目环境影响报告表》及批复未作要求</w:t>
      </w:r>
      <w:r>
        <w:rPr>
          <w:rFonts w:hint="eastAsia" w:ascii="仿宋" w:hAnsi="仿宋" w:eastAsia="仿宋" w:cs="仿宋"/>
          <w:color w:val="000000" w:themeColor="text1"/>
          <w:kern w:val="0"/>
          <w:sz w:val="28"/>
          <w:szCs w:val="28"/>
          <w:lang w:eastAsia="zh-CN"/>
          <w14:textFill>
            <w14:solidFill>
              <w14:schemeClr w14:val="tx1"/>
            </w14:solidFill>
          </w14:textFill>
        </w:rPr>
        <w:t>。</w:t>
      </w:r>
    </w:p>
    <w:p>
      <w:pPr>
        <w:adjustRightInd w:val="0"/>
        <w:snapToGrid w:val="0"/>
        <w:spacing w:line="360" w:lineRule="auto"/>
        <w:ind w:firstLine="560" w:firstLineChars="200"/>
        <w:jc w:val="left"/>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2、在线监测装置</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在线监测装置</w:t>
      </w:r>
      <w:r>
        <w:rPr>
          <w:rFonts w:hint="eastAsia" w:ascii="仿宋" w:hAnsi="仿宋" w:eastAsia="仿宋" w:cs="仿宋"/>
          <w:sz w:val="28"/>
          <w:szCs w:val="28"/>
        </w:rPr>
        <w:t>《项目环境影响</w:t>
      </w:r>
      <w:r>
        <w:rPr>
          <w:rFonts w:hint="eastAsia" w:ascii="仿宋" w:hAnsi="仿宋" w:eastAsia="仿宋" w:cs="仿宋"/>
          <w:sz w:val="28"/>
          <w:szCs w:val="28"/>
          <w:lang w:eastAsia="zh-CN"/>
        </w:rPr>
        <w:t>报告表</w:t>
      </w:r>
      <w:r>
        <w:rPr>
          <w:rFonts w:hint="eastAsia" w:ascii="仿宋" w:hAnsi="仿宋" w:eastAsia="仿宋" w:cs="仿宋"/>
          <w:sz w:val="28"/>
          <w:szCs w:val="28"/>
        </w:rPr>
        <w:t>》及批复未作要求。</w:t>
      </w:r>
    </w:p>
    <w:p>
      <w:pPr>
        <w:adjustRightInd w:val="0"/>
        <w:snapToGrid w:val="0"/>
        <w:spacing w:line="360" w:lineRule="auto"/>
        <w:ind w:firstLine="560" w:firstLineChars="200"/>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3、其他设施</w:t>
      </w:r>
    </w:p>
    <w:p>
      <w:pPr>
        <w:adjustRightInd w:val="0"/>
        <w:snapToGrid w:val="0"/>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环评及其批复未提出生态恢复工程、绿化工程、边坡防护工程等其他环境保护设施的落实情况。</w:t>
      </w:r>
    </w:p>
    <w:p>
      <w:pPr>
        <w:adjustRightInd w:val="0"/>
        <w:snapToGrid w:val="0"/>
        <w:spacing w:line="360" w:lineRule="auto"/>
        <w:ind w:left="420" w:left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四、环境保护设施调试效果</w:t>
      </w:r>
    </w:p>
    <w:p>
      <w:pPr>
        <w:adjustRightInd w:val="0"/>
        <w:snapToGrid w:val="0"/>
        <w:spacing w:line="360" w:lineRule="auto"/>
        <w:ind w:left="420" w:left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（一）环保设施处理效率</w:t>
      </w:r>
    </w:p>
    <w:p>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本项目环评及批复中无环保设施处理效率要求。</w:t>
      </w:r>
    </w:p>
    <w:p>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（二）污染物排放情况</w:t>
      </w:r>
    </w:p>
    <w:p>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浙江中一检测研究院股份有限公司于</w:t>
      </w:r>
      <w:r>
        <w:rPr>
          <w:rFonts w:hint="eastAsia" w:ascii="仿宋" w:hAnsi="仿宋" w:eastAsia="仿宋" w:cs="仿宋"/>
          <w:color w:val="000000" w:themeColor="text1"/>
          <w:sz w:val="28"/>
          <w:szCs w:val="28"/>
          <w:lang w:eastAsia="zh-CN"/>
          <w14:textFill>
            <w14:solidFill>
              <w14:schemeClr w14:val="tx1"/>
            </w14:solidFill>
          </w14:textFill>
        </w:rPr>
        <w:t>2022年</w:t>
      </w: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lang w:eastAsia="zh-CN"/>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22</w:t>
      </w:r>
      <w:r>
        <w:rPr>
          <w:rFonts w:hint="eastAsia" w:ascii="仿宋" w:hAnsi="仿宋" w:eastAsia="仿宋" w:cs="仿宋"/>
          <w:color w:val="000000" w:themeColor="text1"/>
          <w:sz w:val="28"/>
          <w:szCs w:val="28"/>
          <w:lang w:eastAsia="zh-CN"/>
          <w14:textFill>
            <w14:solidFill>
              <w14:schemeClr w14:val="tx1"/>
            </w14:solidFill>
          </w14:textFill>
        </w:rPr>
        <w:t>日~</w:t>
      </w:r>
      <w:r>
        <w:rPr>
          <w:rFonts w:hint="eastAsia" w:ascii="仿宋" w:hAnsi="仿宋" w:eastAsia="仿宋" w:cs="仿宋"/>
          <w:color w:val="000000" w:themeColor="text1"/>
          <w:sz w:val="28"/>
          <w:szCs w:val="28"/>
          <w:lang w:val="en-US" w:eastAsia="zh-CN"/>
          <w14:textFill>
            <w14:solidFill>
              <w14:schemeClr w14:val="tx1"/>
            </w14:solidFill>
          </w14:textFill>
        </w:rPr>
        <w:t>23</w:t>
      </w:r>
      <w:r>
        <w:rPr>
          <w:rFonts w:hint="eastAsia" w:ascii="仿宋" w:hAnsi="仿宋" w:eastAsia="仿宋" w:cs="仿宋"/>
          <w:color w:val="000000" w:themeColor="text1"/>
          <w:sz w:val="28"/>
          <w:szCs w:val="28"/>
          <w:lang w:eastAsia="zh-CN"/>
          <w14:textFill>
            <w14:solidFill>
              <w14:schemeClr w14:val="tx1"/>
            </w14:solidFill>
          </w14:textFill>
        </w:rPr>
        <w:t>日</w:t>
      </w:r>
      <w:r>
        <w:rPr>
          <w:rFonts w:hint="eastAsia" w:ascii="仿宋" w:hAnsi="仿宋" w:eastAsia="仿宋" w:cs="仿宋"/>
          <w:color w:val="000000" w:themeColor="text1"/>
          <w:sz w:val="28"/>
          <w:szCs w:val="28"/>
          <w14:textFill>
            <w14:solidFill>
              <w14:schemeClr w14:val="tx1"/>
            </w14:solidFill>
          </w14:textFill>
        </w:rPr>
        <w:t>对本项目进行</w:t>
      </w:r>
      <w:r>
        <w:rPr>
          <w:rFonts w:ascii="仿宋" w:hAnsi="仿宋" w:eastAsia="仿宋" w:cs="仿宋"/>
          <w:color w:val="000000" w:themeColor="text1"/>
          <w:sz w:val="28"/>
          <w:szCs w:val="28"/>
          <w14:textFill>
            <w14:solidFill>
              <w14:schemeClr w14:val="tx1"/>
            </w14:solidFill>
          </w14:textFill>
        </w:rPr>
        <w:t>了现场检测。</w:t>
      </w:r>
      <w:r>
        <w:rPr>
          <w:rFonts w:hint="eastAsia" w:ascii="仿宋" w:hAnsi="仿宋" w:eastAsia="仿宋" w:cs="仿宋"/>
          <w:color w:val="000000" w:themeColor="text1"/>
          <w:sz w:val="28"/>
          <w:szCs w:val="28"/>
          <w14:textFill>
            <w14:solidFill>
              <w14:schemeClr w14:val="tx1"/>
            </w14:solidFill>
          </w14:textFill>
        </w:rPr>
        <w:t>根据出具的《浙江中一检测研究院股份有限公司监测报告（</w:t>
      </w:r>
      <w:r>
        <w:rPr>
          <w:rFonts w:hint="eastAsia" w:ascii="仿宋" w:hAnsi="仿宋" w:eastAsia="仿宋" w:cs="仿宋"/>
          <w:color w:val="000000" w:themeColor="text1"/>
          <w:sz w:val="28"/>
          <w:szCs w:val="28"/>
          <w:lang w:val="en-US" w:eastAsia="zh-CN"/>
          <w14:textFill>
            <w14:solidFill>
              <w14:schemeClr w14:val="tx1"/>
            </w14:solidFill>
          </w14:textFill>
        </w:rPr>
        <w:t>HJ221167</w:t>
      </w:r>
      <w:r>
        <w:rPr>
          <w:rFonts w:hint="eastAsia" w:ascii="仿宋" w:hAnsi="仿宋" w:eastAsia="仿宋" w:cs="仿宋"/>
          <w:color w:val="000000" w:themeColor="text1"/>
          <w:sz w:val="28"/>
          <w:szCs w:val="28"/>
          <w14:textFill>
            <w14:solidFill>
              <w14:schemeClr w14:val="tx1"/>
            </w14:solidFill>
          </w14:textFill>
        </w:rPr>
        <w:t>）》检</w:t>
      </w:r>
      <w:r>
        <w:rPr>
          <w:rFonts w:ascii="仿宋" w:hAnsi="仿宋" w:eastAsia="仿宋" w:cs="仿宋"/>
          <w:color w:val="000000" w:themeColor="text1"/>
          <w:sz w:val="28"/>
          <w:szCs w:val="28"/>
          <w14:textFill>
            <w14:solidFill>
              <w14:schemeClr w14:val="tx1"/>
            </w14:solidFill>
          </w14:textFill>
        </w:rPr>
        <w:t>测结果表明：</w:t>
      </w:r>
    </w:p>
    <w:p>
      <w:pPr>
        <w:numPr>
          <w:ilvl w:val="0"/>
          <w:numId w:val="3"/>
        </w:numPr>
        <w:adjustRightInd w:val="0"/>
        <w:snapToGrid w:val="0"/>
        <w:spacing w:line="360" w:lineRule="auto"/>
        <w:ind w:left="420" w:leftChars="200" w:firstLine="140" w:firstLineChars="50"/>
        <w:rPr>
          <w:rFonts w:hint="eastAsia" w:ascii="仿宋" w:hAnsi="仿宋" w:eastAsia="仿宋" w:cs="仿宋"/>
          <w:color w:val="auto"/>
          <w:sz w:val="28"/>
          <w:szCs w:val="28"/>
        </w:rPr>
      </w:pPr>
      <w:r>
        <w:rPr>
          <w:rFonts w:hint="eastAsia" w:ascii="仿宋" w:hAnsi="仿宋" w:eastAsia="仿宋" w:cs="仿宋"/>
          <w:color w:val="auto"/>
          <w:sz w:val="28"/>
          <w:szCs w:val="28"/>
        </w:rPr>
        <w:t>废气治理设施</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（1）有组织废气</w:t>
      </w:r>
    </w:p>
    <w:p>
      <w:pPr>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验收监测期间，</w:t>
      </w:r>
      <w:r>
        <w:rPr>
          <w:rFonts w:hint="eastAsia" w:ascii="仿宋" w:hAnsi="仿宋" w:eastAsia="仿宋" w:cs="仿宋"/>
          <w:color w:val="auto"/>
          <w:sz w:val="28"/>
          <w:szCs w:val="28"/>
          <w:lang w:eastAsia="zh-CN"/>
        </w:rPr>
        <w:t>宁波普立隆高分子材料有限公司</w:t>
      </w:r>
      <w:r>
        <w:rPr>
          <w:rFonts w:hint="eastAsia" w:ascii="仿宋" w:hAnsi="仿宋" w:eastAsia="仿宋" w:cs="仿宋"/>
          <w:color w:val="auto"/>
          <w:sz w:val="28"/>
          <w:szCs w:val="28"/>
          <w:lang w:val="en-US" w:eastAsia="zh-CN"/>
        </w:rPr>
        <w:t>挤出废气出口中非甲烷总烃、氨排放浓度及单位产品非甲烷总烃排放量均符合《合成树脂工业污染物排放标准》 （GB31572-2015）表 5 大气污染物特别排放限值。</w:t>
      </w:r>
    </w:p>
    <w:p>
      <w:pPr>
        <w:spacing w:line="360" w:lineRule="auto"/>
        <w:ind w:firstLine="560" w:firstLineChars="200"/>
        <w:rPr>
          <w:rFonts w:hint="eastAsia" w:ascii="仿宋" w:hAnsi="仿宋" w:eastAsia="仿宋" w:cs="仿宋"/>
          <w:color w:val="auto"/>
          <w:sz w:val="28"/>
          <w:szCs w:val="28"/>
        </w:rPr>
      </w:pPr>
      <w:r>
        <w:rPr>
          <w:rFonts w:hint="default" w:ascii="仿宋" w:hAnsi="仿宋" w:eastAsia="仿宋" w:cs="仿宋"/>
          <w:color w:val="auto"/>
          <w:sz w:val="28"/>
          <w:szCs w:val="28"/>
        </w:rPr>
        <w:t>（2）</w:t>
      </w:r>
      <w:r>
        <w:rPr>
          <w:rFonts w:hint="eastAsia" w:ascii="仿宋" w:hAnsi="仿宋" w:eastAsia="仿宋" w:cs="仿宋"/>
          <w:color w:val="auto"/>
          <w:sz w:val="28"/>
          <w:szCs w:val="28"/>
        </w:rPr>
        <w:t>厂区内</w:t>
      </w:r>
      <w:r>
        <w:rPr>
          <w:rFonts w:hint="default" w:ascii="仿宋" w:hAnsi="仿宋" w:eastAsia="仿宋" w:cs="仿宋"/>
          <w:color w:val="auto"/>
          <w:sz w:val="28"/>
          <w:szCs w:val="28"/>
        </w:rPr>
        <w:t>挥发性有机物无组织</w:t>
      </w:r>
      <w:r>
        <w:rPr>
          <w:rFonts w:hint="eastAsia" w:ascii="仿宋" w:hAnsi="仿宋" w:eastAsia="仿宋" w:cs="仿宋"/>
          <w:color w:val="auto"/>
          <w:sz w:val="28"/>
          <w:szCs w:val="28"/>
        </w:rPr>
        <w:t>排放废气</w:t>
      </w:r>
    </w:p>
    <w:p>
      <w:pPr>
        <w:spacing w:line="360" w:lineRule="auto"/>
        <w:ind w:firstLine="560" w:firstLineChars="200"/>
        <w:rPr>
          <w:rFonts w:hint="default" w:ascii="仿宋" w:hAnsi="仿宋" w:eastAsia="仿宋" w:cs="仿宋"/>
          <w:color w:val="auto"/>
          <w:sz w:val="28"/>
          <w:szCs w:val="28"/>
        </w:rPr>
      </w:pPr>
      <w:r>
        <w:rPr>
          <w:rFonts w:hint="default" w:ascii="仿宋" w:hAnsi="仿宋" w:eastAsia="仿宋" w:cs="仿宋"/>
          <w:color w:val="auto"/>
          <w:sz w:val="28"/>
          <w:szCs w:val="28"/>
        </w:rPr>
        <w:t>验收监测期间，本项目</w:t>
      </w:r>
      <w:r>
        <w:rPr>
          <w:rFonts w:hint="eastAsia" w:ascii="仿宋" w:hAnsi="仿宋" w:eastAsia="仿宋" w:cs="仿宋"/>
          <w:color w:val="auto"/>
          <w:sz w:val="28"/>
          <w:szCs w:val="28"/>
          <w:lang w:val="en-US" w:eastAsia="zh-CN"/>
        </w:rPr>
        <w:t>挤出</w:t>
      </w:r>
      <w:r>
        <w:rPr>
          <w:rFonts w:hint="eastAsia" w:ascii="仿宋" w:hAnsi="仿宋" w:eastAsia="仿宋" w:cs="仿宋"/>
          <w:color w:val="auto"/>
          <w:sz w:val="28"/>
          <w:szCs w:val="28"/>
        </w:rPr>
        <w:t>车间外</w:t>
      </w:r>
      <w:r>
        <w:rPr>
          <w:rFonts w:hint="default" w:ascii="仿宋" w:hAnsi="仿宋" w:eastAsia="仿宋" w:cs="仿宋"/>
          <w:color w:val="auto"/>
          <w:sz w:val="28"/>
          <w:szCs w:val="28"/>
        </w:rPr>
        <w:t>1m监测点非甲烷总烃的一次值和小时值均符合《挥发性有机物无组织排放控制标准》（GB37822-2019）中的特别排放值。</w:t>
      </w:r>
    </w:p>
    <w:p>
      <w:pPr>
        <w:spacing w:line="360" w:lineRule="auto"/>
        <w:ind w:firstLine="560" w:firstLineChars="200"/>
        <w:rPr>
          <w:rFonts w:hint="eastAsia" w:ascii="仿宋" w:hAnsi="仿宋" w:eastAsia="仿宋" w:cs="仿宋"/>
          <w:color w:val="auto"/>
          <w:sz w:val="28"/>
          <w:szCs w:val="28"/>
        </w:rPr>
      </w:pPr>
      <w:r>
        <w:rPr>
          <w:rFonts w:hint="default" w:ascii="仿宋" w:hAnsi="仿宋" w:eastAsia="仿宋" w:cs="仿宋"/>
          <w:color w:val="auto"/>
          <w:sz w:val="28"/>
          <w:szCs w:val="28"/>
        </w:rPr>
        <w:t>（</w:t>
      </w:r>
      <w:r>
        <w:rPr>
          <w:rFonts w:hint="eastAsia" w:ascii="仿宋" w:hAnsi="仿宋" w:eastAsia="仿宋" w:cs="仿宋"/>
          <w:color w:val="auto"/>
          <w:sz w:val="28"/>
          <w:szCs w:val="28"/>
        </w:rPr>
        <w:t>3</w:t>
      </w:r>
      <w:r>
        <w:rPr>
          <w:rFonts w:hint="default" w:ascii="仿宋" w:hAnsi="仿宋" w:eastAsia="仿宋" w:cs="仿宋"/>
          <w:color w:val="auto"/>
          <w:sz w:val="28"/>
          <w:szCs w:val="28"/>
        </w:rPr>
        <w:t>）</w:t>
      </w:r>
      <w:r>
        <w:rPr>
          <w:rFonts w:hint="eastAsia" w:ascii="仿宋" w:hAnsi="仿宋" w:eastAsia="仿宋" w:cs="仿宋"/>
          <w:color w:val="auto"/>
          <w:sz w:val="28"/>
          <w:szCs w:val="28"/>
        </w:rPr>
        <w:t>厂界</w:t>
      </w:r>
      <w:r>
        <w:rPr>
          <w:rFonts w:hint="default" w:ascii="仿宋" w:hAnsi="仿宋" w:eastAsia="仿宋" w:cs="仿宋"/>
          <w:color w:val="auto"/>
          <w:sz w:val="28"/>
          <w:szCs w:val="28"/>
        </w:rPr>
        <w:t>无组织</w:t>
      </w:r>
      <w:r>
        <w:rPr>
          <w:rFonts w:hint="eastAsia" w:ascii="仿宋" w:hAnsi="仿宋" w:eastAsia="仿宋" w:cs="仿宋"/>
          <w:color w:val="auto"/>
          <w:sz w:val="28"/>
          <w:szCs w:val="28"/>
        </w:rPr>
        <w:t>排放废气</w:t>
      </w:r>
    </w:p>
    <w:p>
      <w:pPr>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验收监测</w:t>
      </w:r>
      <w:r>
        <w:rPr>
          <w:rFonts w:hint="eastAsia" w:ascii="仿宋" w:hAnsi="仿宋" w:eastAsia="仿宋" w:cs="仿宋"/>
          <w:color w:val="auto"/>
          <w:sz w:val="28"/>
          <w:szCs w:val="28"/>
          <w:lang w:eastAsia="zh-CN"/>
        </w:rPr>
        <w:t>期间，本项目</w:t>
      </w:r>
      <w:r>
        <w:rPr>
          <w:rFonts w:hint="eastAsia" w:ascii="仿宋" w:hAnsi="仿宋" w:eastAsia="仿宋" w:cs="仿宋"/>
          <w:color w:val="auto"/>
          <w:sz w:val="28"/>
          <w:szCs w:val="28"/>
          <w:lang w:val="en-US" w:eastAsia="zh-CN"/>
        </w:rPr>
        <w:t>厂界</w:t>
      </w:r>
      <w:r>
        <w:rPr>
          <w:rFonts w:hint="eastAsia" w:ascii="仿宋" w:hAnsi="仿宋" w:eastAsia="仿宋" w:cs="仿宋"/>
          <w:color w:val="auto"/>
          <w:sz w:val="28"/>
          <w:szCs w:val="28"/>
          <w:lang w:eastAsia="zh-CN"/>
        </w:rPr>
        <w:t>上风向、下风向非甲烷总烃、</w:t>
      </w:r>
      <w:r>
        <w:rPr>
          <w:rFonts w:hint="eastAsia" w:ascii="仿宋" w:hAnsi="仿宋" w:eastAsia="仿宋" w:cs="仿宋"/>
          <w:color w:val="auto"/>
          <w:sz w:val="28"/>
          <w:szCs w:val="28"/>
          <w:lang w:val="en-US" w:eastAsia="zh-CN"/>
        </w:rPr>
        <w:t>总悬浮颗粒物</w:t>
      </w:r>
      <w:r>
        <w:rPr>
          <w:rFonts w:hint="eastAsia" w:ascii="仿宋" w:hAnsi="仿宋" w:eastAsia="仿宋" w:cs="仿宋"/>
          <w:color w:val="auto"/>
          <w:sz w:val="28"/>
          <w:szCs w:val="28"/>
          <w:lang w:eastAsia="zh-CN"/>
        </w:rPr>
        <w:t>监测值</w:t>
      </w:r>
      <w:r>
        <w:rPr>
          <w:rFonts w:hint="eastAsia" w:ascii="仿宋" w:hAnsi="仿宋" w:eastAsia="仿宋" w:cs="仿宋"/>
          <w:color w:val="auto"/>
          <w:sz w:val="28"/>
          <w:szCs w:val="28"/>
          <w:lang w:val="en-US" w:eastAsia="zh-CN"/>
        </w:rPr>
        <w:t>均</w:t>
      </w:r>
      <w:r>
        <w:rPr>
          <w:rFonts w:hint="eastAsia" w:ascii="仿宋" w:hAnsi="仿宋" w:eastAsia="仿宋" w:cs="仿宋"/>
          <w:color w:val="auto"/>
          <w:sz w:val="28"/>
          <w:szCs w:val="28"/>
          <w:lang w:eastAsia="zh-CN"/>
        </w:rPr>
        <w:t>符合《合成树脂工业污染物排放标准》 （GB31572-2015）表 9 企业边界大气污染物浓度限值；</w:t>
      </w:r>
      <w:r>
        <w:rPr>
          <w:rFonts w:hint="eastAsia" w:ascii="仿宋" w:hAnsi="仿宋" w:eastAsia="仿宋" w:cs="仿宋"/>
          <w:color w:val="auto"/>
          <w:sz w:val="28"/>
          <w:szCs w:val="28"/>
          <w:lang w:val="en-US" w:eastAsia="zh-CN"/>
        </w:rPr>
        <w:t>其中氨、臭气浓度监测值符合</w:t>
      </w:r>
      <w:r>
        <w:rPr>
          <w:rFonts w:hint="eastAsia" w:ascii="仿宋" w:hAnsi="仿宋" w:eastAsia="仿宋" w:cs="仿宋"/>
          <w:color w:val="auto"/>
          <w:sz w:val="28"/>
          <w:szCs w:val="28"/>
          <w:lang w:eastAsia="zh-CN"/>
        </w:rPr>
        <w:t>《恶臭污染物排放标准》（GB14554-93）二级标准</w:t>
      </w:r>
      <w:r>
        <w:rPr>
          <w:rFonts w:hint="eastAsia" w:ascii="仿宋" w:hAnsi="仿宋" w:eastAsia="仿宋" w:cs="仿宋"/>
          <w:color w:val="auto"/>
          <w:sz w:val="28"/>
          <w:szCs w:val="28"/>
          <w:lang w:val="en-US" w:eastAsia="zh-CN"/>
        </w:rPr>
        <w:t>限值。</w:t>
      </w:r>
    </w:p>
    <w:p>
      <w:pPr>
        <w:numPr>
          <w:ilvl w:val="0"/>
          <w:numId w:val="3"/>
        </w:numPr>
        <w:adjustRightInd w:val="0"/>
        <w:snapToGrid w:val="0"/>
        <w:spacing w:line="360" w:lineRule="auto"/>
        <w:ind w:left="420" w:leftChars="200" w:firstLine="140" w:firstLineChars="50"/>
        <w:rPr>
          <w:rFonts w:hint="eastAsia" w:ascii="仿宋" w:hAnsi="仿宋" w:eastAsia="仿宋" w:cs="仿宋"/>
          <w:color w:val="auto"/>
          <w:sz w:val="28"/>
          <w:szCs w:val="28"/>
        </w:rPr>
      </w:pPr>
      <w:r>
        <w:rPr>
          <w:rFonts w:hint="eastAsia" w:ascii="仿宋" w:hAnsi="仿宋" w:eastAsia="仿宋" w:cs="仿宋"/>
          <w:color w:val="auto"/>
          <w:sz w:val="28"/>
          <w:szCs w:val="28"/>
        </w:rPr>
        <w:t>废</w:t>
      </w:r>
      <w:r>
        <w:rPr>
          <w:rFonts w:hint="eastAsia" w:ascii="仿宋" w:hAnsi="仿宋" w:eastAsia="仿宋" w:cs="仿宋"/>
          <w:color w:val="auto"/>
          <w:sz w:val="28"/>
          <w:szCs w:val="28"/>
          <w:lang w:eastAsia="zh-CN"/>
        </w:rPr>
        <w:t>水</w:t>
      </w:r>
      <w:r>
        <w:rPr>
          <w:rFonts w:hint="eastAsia" w:ascii="仿宋" w:hAnsi="仿宋" w:eastAsia="仿宋" w:cs="仿宋"/>
          <w:color w:val="auto"/>
          <w:sz w:val="28"/>
          <w:szCs w:val="28"/>
        </w:rPr>
        <w:t>治理设施</w:t>
      </w:r>
    </w:p>
    <w:p>
      <w:pPr>
        <w:spacing w:line="360" w:lineRule="auto"/>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验收监测期间，</w:t>
      </w:r>
      <w:r>
        <w:rPr>
          <w:rFonts w:hint="eastAsia" w:ascii="仿宋" w:hAnsi="仿宋" w:eastAsia="仿宋" w:cs="仿宋"/>
          <w:color w:val="auto"/>
          <w:sz w:val="28"/>
          <w:szCs w:val="28"/>
          <w:lang w:eastAsia="zh-CN"/>
        </w:rPr>
        <w:t>宁波普立隆高分子材料有限公司</w:t>
      </w:r>
      <w:r>
        <w:rPr>
          <w:rFonts w:hint="eastAsia" w:ascii="仿宋" w:hAnsi="仿宋" w:eastAsia="仿宋" w:cs="仿宋"/>
          <w:color w:val="auto"/>
          <w:sz w:val="28"/>
          <w:szCs w:val="28"/>
        </w:rPr>
        <w:t>生活污水出口中pH值、悬浮物、化学需氧量、五日生化需氧量、动植物油类排放浓度均符合《污水综合排放标准》（GB 8978-1996）表1中三级标准，其中氨氮、总磷排放浓度均符合《工业企业废水氮、磷污染物间接排放限值》（DB 33/887-2013）中的标准限值。</w:t>
      </w:r>
    </w:p>
    <w:p>
      <w:pPr>
        <w:adjustRightInd w:val="0"/>
        <w:snapToGrid w:val="0"/>
        <w:spacing w:line="360" w:lineRule="auto"/>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、厂界噪声治理</w:t>
      </w:r>
    </w:p>
    <w:p>
      <w:pPr>
        <w:spacing w:line="360" w:lineRule="auto"/>
        <w:ind w:firstLine="560" w:firstLineChars="200"/>
        <w:rPr>
          <w:rFonts w:hint="eastAsia" w:ascii="仿宋" w:hAnsi="仿宋" w:eastAsia="仿宋" w:cs="仿宋"/>
          <w:color w:val="auto"/>
          <w:kern w:val="2"/>
          <w:sz w:val="28"/>
          <w:szCs w:val="28"/>
          <w:lang w:val="en-US" w:eastAsia="zh-CN" w:bidi="ar-SA"/>
        </w:rPr>
      </w:pPr>
      <w:r>
        <w:rPr>
          <w:rFonts w:hint="eastAsia" w:ascii="仿宋" w:hAnsi="仿宋" w:eastAsia="仿宋" w:cs="仿宋"/>
          <w:color w:val="auto"/>
          <w:kern w:val="2"/>
          <w:sz w:val="28"/>
          <w:szCs w:val="28"/>
          <w:lang w:val="en-US" w:eastAsia="zh-CN" w:bidi="ar-SA"/>
        </w:rPr>
        <w:t>根据监测</w:t>
      </w:r>
      <w:r>
        <w:rPr>
          <w:rFonts w:hint="eastAsia" w:ascii="仿宋" w:hAnsi="仿宋" w:eastAsia="仿宋" w:cs="仿宋"/>
          <w:color w:val="auto"/>
          <w:sz w:val="28"/>
          <w:szCs w:val="28"/>
          <w:lang w:val="en-US" w:eastAsia="zh-CN"/>
        </w:rPr>
        <w:t>结果</w:t>
      </w:r>
      <w:r>
        <w:rPr>
          <w:rFonts w:hint="default" w:ascii="仿宋" w:hAnsi="仿宋" w:eastAsia="仿宋" w:cs="仿宋"/>
          <w:color w:val="auto"/>
          <w:sz w:val="28"/>
          <w:szCs w:val="28"/>
          <w:lang w:val="en-US" w:eastAsia="zh-CN"/>
        </w:rPr>
        <w:t>，</w:t>
      </w:r>
      <w:r>
        <w:rPr>
          <w:rFonts w:hint="eastAsia" w:ascii="仿宋" w:hAnsi="仿宋" w:eastAsia="仿宋" w:cs="仿宋"/>
          <w:color w:val="auto"/>
          <w:sz w:val="28"/>
          <w:szCs w:val="28"/>
          <w:lang w:eastAsia="zh-CN"/>
        </w:rPr>
        <w:t>宁波普立隆高分子材料有限公司厂界四周昼间噪声均符合《工业企业厂界环境噪声排放标准》（GB12348-2008）3类标准。</w:t>
      </w:r>
    </w:p>
    <w:p>
      <w:pPr>
        <w:adjustRightInd w:val="0"/>
        <w:snapToGrid w:val="0"/>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、固体废物治理设施</w:t>
      </w:r>
    </w:p>
    <w:p>
      <w:pPr>
        <w:widowControl/>
        <w:adjustRightInd w:val="0"/>
        <w:snapToGrid w:val="0"/>
        <w:spacing w:line="360" w:lineRule="auto"/>
        <w:ind w:firstLine="560" w:firstLineChars="200"/>
        <w:rPr>
          <w:rFonts w:hint="default" w:ascii="仿宋" w:hAnsi="仿宋" w:eastAsia="仿宋" w:cs="仿宋"/>
          <w:color w:val="auto"/>
          <w:kern w:val="0"/>
          <w:sz w:val="28"/>
          <w:szCs w:val="28"/>
          <w:lang w:val="en-US" w:eastAsia="zh-CN"/>
        </w:rPr>
      </w:pPr>
      <w:r>
        <w:rPr>
          <w:rFonts w:hint="default" w:ascii="仿宋" w:hAnsi="仿宋" w:eastAsia="仿宋" w:cs="仿宋"/>
          <w:color w:val="auto"/>
          <w:kern w:val="0"/>
          <w:sz w:val="28"/>
          <w:szCs w:val="28"/>
          <w:lang w:val="en-US" w:eastAsia="zh-CN"/>
        </w:rPr>
        <w:t>本项目的固废主要为废包装袋、废活性炭和生活垃圾。废包装袋属于一般废物，废活性炭属于危险废物，均委托宁波市隆欣环境科技有限公司收集转运；生活垃圾委托环卫部门清运。</w:t>
      </w:r>
    </w:p>
    <w:p>
      <w:pPr>
        <w:widowControl/>
        <w:adjustRightInd w:val="0"/>
        <w:snapToGrid w:val="0"/>
        <w:spacing w:line="360"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、辐射防护设施</w:t>
      </w:r>
    </w:p>
    <w:p>
      <w:pPr>
        <w:adjustRightInd w:val="0"/>
        <w:snapToGrid w:val="0"/>
        <w:spacing w:line="360" w:lineRule="auto"/>
        <w:ind w:firstLine="560" w:firstLineChars="200"/>
        <w:rPr>
          <w:rFonts w:ascii="仿宋" w:hAnsi="仿宋" w:eastAsia="仿宋" w:cs="仿宋"/>
          <w:color w:val="FF0000"/>
          <w:sz w:val="28"/>
          <w:szCs w:val="28"/>
        </w:rPr>
      </w:pPr>
      <w:r>
        <w:rPr>
          <w:rFonts w:hint="eastAsia" w:ascii="仿宋" w:hAnsi="仿宋" w:eastAsia="仿宋" w:cs="仿宋"/>
          <w:color w:val="000000" w:themeColor="text1"/>
          <w:sz w:val="28"/>
          <w:szCs w:val="28"/>
          <w14:textFill>
            <w14:solidFill>
              <w14:schemeClr w14:val="tx1"/>
            </w14:solidFill>
          </w14:textFill>
        </w:rPr>
        <w:t>本项目无辐射源。</w:t>
      </w:r>
    </w:p>
    <w:p>
      <w:pPr>
        <w:widowControl/>
        <w:adjustRightInd w:val="0"/>
        <w:snapToGrid w:val="0"/>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、污染物排放总量</w:t>
      </w:r>
    </w:p>
    <w:p>
      <w:pPr>
        <w:widowControl/>
        <w:adjustRightInd w:val="0"/>
        <w:snapToGrid w:val="0"/>
        <w:spacing w:line="360"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default" w:ascii="仿宋" w:hAnsi="仿宋" w:eastAsia="仿宋" w:cs="仿宋"/>
          <w:color w:val="auto"/>
          <w:kern w:val="0"/>
          <w:sz w:val="28"/>
          <w:szCs w:val="28"/>
          <w:lang w:val="en-US" w:eastAsia="zh-CN" w:bidi="ar-SA"/>
        </w:rPr>
        <w:t>根据企业提供的资料及现场调查，以验收监测期间废气污染物实测数据为基准核算，</w:t>
      </w:r>
      <w:r>
        <w:rPr>
          <w:rFonts w:hint="eastAsia" w:ascii="仿宋" w:hAnsi="仿宋" w:eastAsia="仿宋" w:cs="仿宋"/>
          <w:color w:val="auto"/>
          <w:kern w:val="0"/>
          <w:sz w:val="28"/>
          <w:szCs w:val="28"/>
          <w:lang w:val="en-US" w:eastAsia="zh-CN" w:bidi="ar-SA"/>
        </w:rPr>
        <w:t>第一阶段</w:t>
      </w:r>
      <w:r>
        <w:rPr>
          <w:rFonts w:hint="eastAsia" w:ascii="仿宋" w:hAnsi="仿宋" w:eastAsia="仿宋" w:cs="仿宋"/>
          <w:color w:val="000000" w:themeColor="text1"/>
          <w:sz w:val="28"/>
          <w:szCs w:val="28"/>
          <w14:textFill>
            <w14:solidFill>
              <w14:schemeClr w14:val="tx1"/>
            </w14:solidFill>
          </w14:textFill>
        </w:rPr>
        <w:t>总量指标未超过原环评文件中的核算总量，符合环评总量控制要求。</w:t>
      </w:r>
    </w:p>
    <w:p>
      <w:pPr>
        <w:adjustRightInd w:val="0"/>
        <w:snapToGrid w:val="0"/>
        <w:spacing w:line="360" w:lineRule="auto"/>
        <w:ind w:left="56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五、工程建设对环境的影响</w:t>
      </w:r>
    </w:p>
    <w:p>
      <w:pPr>
        <w:adjustRightInd w:val="0"/>
        <w:snapToGrid w:val="0"/>
        <w:spacing w:line="360" w:lineRule="auto"/>
        <w:ind w:firstLine="63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项目已按环保“三同时”要求落实了环境保护措施，经监测各类污染物均能做到达标排放，工程建设对环境的影响在可控制范围内。</w:t>
      </w:r>
    </w:p>
    <w:p>
      <w:pPr>
        <w:adjustRightInd w:val="0"/>
        <w:snapToGrid w:val="0"/>
        <w:spacing w:line="360" w:lineRule="auto"/>
        <w:ind w:firstLine="562" w:firstLineChars="200"/>
        <w:rPr>
          <w:rFonts w:ascii="仿宋" w:hAnsi="仿宋" w:eastAsia="仿宋" w:cs="Times New Roman"/>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六、验收结论</w:t>
      </w:r>
    </w:p>
    <w:p>
      <w:pPr>
        <w:adjustRightInd w:val="0"/>
        <w:snapToGrid w:val="0"/>
        <w:spacing w:line="360" w:lineRule="auto"/>
        <w:ind w:firstLine="63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经现场查验，《</w:t>
      </w:r>
      <w:r>
        <w:rPr>
          <w:rFonts w:hint="eastAsia" w:ascii="仿宋" w:hAnsi="仿宋" w:eastAsia="仿宋" w:cs="仿宋"/>
          <w:color w:val="000000" w:themeColor="text1"/>
          <w:sz w:val="28"/>
          <w:szCs w:val="28"/>
          <w:lang w:eastAsia="zh-CN"/>
          <w14:textFill>
            <w14:solidFill>
              <w14:schemeClr w14:val="tx1"/>
            </w14:solidFill>
          </w14:textFill>
        </w:rPr>
        <w:t>宁波普立隆高分子材料有限公司年加工2万吨高分子聚酰胺塑料生产线技改项目》（第一阶段）环</w:t>
      </w:r>
      <w:r>
        <w:rPr>
          <w:rFonts w:hint="eastAsia" w:ascii="仿宋" w:hAnsi="仿宋" w:eastAsia="仿宋" w:cs="仿宋"/>
          <w:color w:val="000000" w:themeColor="text1"/>
          <w:sz w:val="28"/>
          <w:szCs w:val="28"/>
          <w14:textFill>
            <w14:solidFill>
              <w14:schemeClr w14:val="tx1"/>
            </w14:solidFill>
          </w14:textFill>
        </w:rPr>
        <w:t>评手续齐备，主体工程和配套环保工程建设完备，项目建设内容与项目《环境影响评价</w:t>
      </w:r>
      <w:r>
        <w:rPr>
          <w:rFonts w:hint="eastAsia" w:ascii="仿宋" w:hAnsi="仿宋" w:eastAsia="仿宋" w:cs="仿宋"/>
          <w:color w:val="000000" w:themeColor="text1"/>
          <w:sz w:val="28"/>
          <w:szCs w:val="28"/>
          <w:lang w:val="en-US" w:eastAsia="zh-CN"/>
          <w14:textFill>
            <w14:solidFill>
              <w14:schemeClr w14:val="tx1"/>
            </w14:solidFill>
          </w14:textFill>
        </w:rPr>
        <w:t>报告表</w:t>
      </w:r>
      <w:r>
        <w:rPr>
          <w:rFonts w:hint="eastAsia" w:ascii="仿宋" w:hAnsi="仿宋" w:eastAsia="仿宋" w:cs="仿宋"/>
          <w:color w:val="000000" w:themeColor="text1"/>
          <w:sz w:val="28"/>
          <w:szCs w:val="28"/>
          <w14:textFill>
            <w14:solidFill>
              <w14:schemeClr w14:val="tx1"/>
            </w14:solidFill>
          </w14:textFill>
        </w:rPr>
        <w:t>》及其</w:t>
      </w:r>
      <w:r>
        <w:rPr>
          <w:rFonts w:hint="eastAsia" w:ascii="仿宋" w:hAnsi="仿宋" w:eastAsia="仿宋" w:cs="仿宋"/>
          <w:color w:val="000000" w:themeColor="text1"/>
          <w:sz w:val="28"/>
          <w:szCs w:val="28"/>
          <w:lang w:eastAsia="zh-CN"/>
          <w14:textFill>
            <w14:solidFill>
              <w14:schemeClr w14:val="tx1"/>
            </w14:solidFill>
          </w14:textFill>
        </w:rPr>
        <w:t>批复</w:t>
      </w:r>
      <w:r>
        <w:rPr>
          <w:rFonts w:hint="eastAsia" w:ascii="仿宋" w:hAnsi="仿宋" w:eastAsia="仿宋" w:cs="仿宋"/>
          <w:color w:val="000000" w:themeColor="text1"/>
          <w:sz w:val="28"/>
          <w:szCs w:val="28"/>
          <w14:textFill>
            <w14:solidFill>
              <w14:schemeClr w14:val="tx1"/>
            </w14:solidFill>
          </w14:textFill>
        </w:rPr>
        <w:t>基本一致，已落实了环保“三同时”和《环境影响评价</w:t>
      </w:r>
      <w:r>
        <w:rPr>
          <w:rFonts w:hint="eastAsia" w:ascii="仿宋" w:hAnsi="仿宋" w:eastAsia="仿宋" w:cs="仿宋"/>
          <w:color w:val="000000" w:themeColor="text1"/>
          <w:sz w:val="28"/>
          <w:szCs w:val="28"/>
          <w:lang w:val="en-US" w:eastAsia="zh-CN"/>
          <w14:textFill>
            <w14:solidFill>
              <w14:schemeClr w14:val="tx1"/>
            </w14:solidFill>
          </w14:textFill>
        </w:rPr>
        <w:t>报告表</w:t>
      </w:r>
      <w:r>
        <w:rPr>
          <w:rFonts w:hint="eastAsia" w:ascii="仿宋" w:hAnsi="仿宋" w:eastAsia="仿宋" w:cs="仿宋"/>
          <w:color w:val="000000" w:themeColor="text1"/>
          <w:sz w:val="28"/>
          <w:szCs w:val="28"/>
          <w14:textFill>
            <w14:solidFill>
              <w14:schemeClr w14:val="tx1"/>
            </w14:solidFill>
          </w14:textFill>
        </w:rPr>
        <w:t>》及其</w:t>
      </w:r>
      <w:r>
        <w:rPr>
          <w:rFonts w:hint="eastAsia" w:ascii="仿宋" w:hAnsi="仿宋" w:eastAsia="仿宋" w:cs="仿宋"/>
          <w:color w:val="000000" w:themeColor="text1"/>
          <w:sz w:val="28"/>
          <w:szCs w:val="28"/>
          <w:lang w:eastAsia="zh-CN"/>
          <w14:textFill>
            <w14:solidFill>
              <w14:schemeClr w14:val="tx1"/>
            </w14:solidFill>
          </w14:textFill>
        </w:rPr>
        <w:t>批复</w:t>
      </w:r>
      <w:r>
        <w:rPr>
          <w:rFonts w:hint="eastAsia" w:ascii="仿宋" w:hAnsi="仿宋" w:eastAsia="仿宋" w:cs="仿宋"/>
          <w:color w:val="000000" w:themeColor="text1"/>
          <w:sz w:val="28"/>
          <w:szCs w:val="28"/>
          <w14:textFill>
            <w14:solidFill>
              <w14:schemeClr w14:val="tx1"/>
            </w14:solidFill>
          </w14:textFill>
        </w:rPr>
        <w:t>提出的各项环保要求，竣工环保验收条件具备。验收资料完整齐全，污染物达标排放、环保设施有效运行的验收监测结论明确合理。验收工作组同意该项目通过竣工环境保护验收。</w:t>
      </w:r>
    </w:p>
    <w:p>
      <w:pPr>
        <w:adjustRightInd w:val="0"/>
        <w:snapToGrid w:val="0"/>
        <w:spacing w:line="360" w:lineRule="auto"/>
        <w:ind w:firstLine="562" w:firstLineChars="20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七、后续要求</w:t>
      </w:r>
    </w:p>
    <w:p>
      <w:pPr>
        <w:adjustRightInd w:val="0"/>
        <w:snapToGrid w:val="0"/>
        <w:spacing w:line="360" w:lineRule="auto"/>
        <w:ind w:firstLine="630"/>
        <w:rPr>
          <w:rFonts w:hint="eastAsia" w:ascii="仿宋" w:hAnsi="仿宋" w:eastAsia="仿宋" w:cs="仿宋"/>
          <w:color w:val="000000" w:themeColor="text1"/>
          <w:sz w:val="28"/>
          <w:szCs w:val="28"/>
          <w14:textFill>
            <w14:solidFill>
              <w14:schemeClr w14:val="tx1"/>
            </w14:solidFill>
          </w14:textFill>
        </w:rPr>
      </w:pPr>
      <w:r>
        <w:rPr>
          <w:rFonts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、严格遵守环保法律法规，完善内部环保管理制度，强化从事环保工作人员业务培训，完善各项环境保护管理和监测制度，重点加强对污染治理设施的维护、管理及正常运行，确保各项污染物长期稳定达标排放。</w:t>
      </w:r>
    </w:p>
    <w:p>
      <w:pPr>
        <w:adjustRightInd w:val="0"/>
        <w:snapToGrid w:val="0"/>
        <w:spacing w:line="360" w:lineRule="auto"/>
        <w:ind w:firstLine="630"/>
        <w:rPr>
          <w:rFonts w:hint="eastAsia" w:ascii="仿宋" w:hAnsi="仿宋" w:eastAsia="仿宋" w:cs="仿宋"/>
          <w:color w:val="auto"/>
          <w:sz w:val="28"/>
          <w:szCs w:val="28"/>
        </w:rPr>
      </w:pPr>
      <w:r>
        <w:rPr>
          <w:rFonts w:hint="eastAsia" w:ascii="仿宋" w:hAnsi="仿宋" w:eastAsia="仿宋" w:cs="仿宋"/>
          <w:color w:val="auto"/>
          <w:sz w:val="28"/>
          <w:szCs w:val="28"/>
        </w:rPr>
        <w:t>2、进一步完善环保管理制度，规范危险废物暂存及管理。</w:t>
      </w:r>
    </w:p>
    <w:p>
      <w:pPr>
        <w:adjustRightInd w:val="0"/>
        <w:snapToGrid w:val="0"/>
        <w:spacing w:line="360" w:lineRule="auto"/>
        <w:ind w:firstLine="63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按竣工验收规范将竣工验收的相关内容和结论进行公示、公开。</w:t>
      </w:r>
    </w:p>
    <w:p>
      <w:pPr>
        <w:adjustRightInd w:val="0"/>
        <w:snapToGrid w:val="0"/>
        <w:spacing w:line="360" w:lineRule="auto"/>
        <w:ind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八、验收人员信息</w:t>
      </w:r>
    </w:p>
    <w:p>
      <w:pPr>
        <w:adjustRightInd w:val="0"/>
        <w:snapToGrid w:val="0"/>
        <w:spacing w:line="360" w:lineRule="auto"/>
        <w:ind w:firstLine="63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参加验收的单位及人员名单、验收负责人（建设单位）具体信息见附表：</w:t>
      </w:r>
    </w:p>
    <w:p>
      <w:pPr>
        <w:pStyle w:val="7"/>
        <w:ind w:left="1470" w:right="1470"/>
        <w:rPr>
          <w:color w:val="000000" w:themeColor="text1"/>
          <w14:textFill>
            <w14:solidFill>
              <w14:schemeClr w14:val="tx1"/>
            </w14:solidFill>
          </w14:textFill>
        </w:rPr>
      </w:pPr>
    </w:p>
    <w:p>
      <w:pPr>
        <w:adjustRightInd w:val="0"/>
        <w:snapToGrid w:val="0"/>
        <w:spacing w:line="360" w:lineRule="auto"/>
        <w:jc w:val="righ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宁波普立隆高分子材料有限公司</w:t>
      </w:r>
    </w:p>
    <w:p>
      <w:pPr>
        <w:adjustRightInd w:val="0"/>
        <w:snapToGrid w:val="0"/>
        <w:spacing w:line="360" w:lineRule="auto"/>
        <w:jc w:val="righ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202</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31</w:t>
      </w:r>
      <w:r>
        <w:rPr>
          <w:rFonts w:hint="eastAsia" w:ascii="仿宋" w:hAnsi="仿宋" w:eastAsia="仿宋" w:cs="仿宋"/>
          <w:color w:val="000000" w:themeColor="text1"/>
          <w:sz w:val="28"/>
          <w:szCs w:val="28"/>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BEDCDB"/>
    <w:multiLevelType w:val="singleLevel"/>
    <w:tmpl w:val="8EBEDCDB"/>
    <w:lvl w:ilvl="0" w:tentative="0">
      <w:start w:val="6"/>
      <w:numFmt w:val="chineseCounting"/>
      <w:suff w:val="nothing"/>
      <w:lvlText w:val="（%1）"/>
      <w:lvlJc w:val="left"/>
      <w:rPr>
        <w:rFonts w:hint="eastAsia"/>
      </w:rPr>
    </w:lvl>
  </w:abstractNum>
  <w:abstractNum w:abstractNumId="1">
    <w:nsid w:val="C165862E"/>
    <w:multiLevelType w:val="singleLevel"/>
    <w:tmpl w:val="C165862E"/>
    <w:lvl w:ilvl="0" w:tentative="0">
      <w:start w:val="1"/>
      <w:numFmt w:val="decimal"/>
      <w:suff w:val="nothing"/>
      <w:lvlText w:val="%1、"/>
      <w:lvlJc w:val="left"/>
    </w:lvl>
  </w:abstractNum>
  <w:abstractNum w:abstractNumId="2">
    <w:nsid w:val="59E956C6"/>
    <w:multiLevelType w:val="singleLevel"/>
    <w:tmpl w:val="59E956C6"/>
    <w:lvl w:ilvl="0" w:tentative="0">
      <w:start w:val="1"/>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Y2QwZjczYmZiNDYwYmMyNTJkYWM1ODhjMmMxMTAifQ=="/>
  </w:docVars>
  <w:rsids>
    <w:rsidRoot w:val="00172A27"/>
    <w:rsid w:val="0008300E"/>
    <w:rsid w:val="004A6511"/>
    <w:rsid w:val="00737550"/>
    <w:rsid w:val="00772767"/>
    <w:rsid w:val="00884907"/>
    <w:rsid w:val="00B45287"/>
    <w:rsid w:val="00D1433E"/>
    <w:rsid w:val="012A3F8E"/>
    <w:rsid w:val="017D7640"/>
    <w:rsid w:val="040F1BAA"/>
    <w:rsid w:val="05CB32A4"/>
    <w:rsid w:val="084D09E7"/>
    <w:rsid w:val="102C1911"/>
    <w:rsid w:val="10D409D1"/>
    <w:rsid w:val="146A74A8"/>
    <w:rsid w:val="15F6043E"/>
    <w:rsid w:val="16B2741B"/>
    <w:rsid w:val="175E7186"/>
    <w:rsid w:val="182456C2"/>
    <w:rsid w:val="18445D4A"/>
    <w:rsid w:val="1A4D360A"/>
    <w:rsid w:val="1AE75C92"/>
    <w:rsid w:val="1B436B53"/>
    <w:rsid w:val="1C0A5403"/>
    <w:rsid w:val="1D797486"/>
    <w:rsid w:val="1DF6605F"/>
    <w:rsid w:val="1ECB43C4"/>
    <w:rsid w:val="20C46950"/>
    <w:rsid w:val="21160B73"/>
    <w:rsid w:val="257801C0"/>
    <w:rsid w:val="2680391F"/>
    <w:rsid w:val="26BF5BD7"/>
    <w:rsid w:val="28071805"/>
    <w:rsid w:val="292C149E"/>
    <w:rsid w:val="2D812297"/>
    <w:rsid w:val="2DC3068F"/>
    <w:rsid w:val="30292E4C"/>
    <w:rsid w:val="307348D7"/>
    <w:rsid w:val="318D4B9C"/>
    <w:rsid w:val="32056B39"/>
    <w:rsid w:val="322002DD"/>
    <w:rsid w:val="33A349DD"/>
    <w:rsid w:val="34435736"/>
    <w:rsid w:val="34570D3C"/>
    <w:rsid w:val="34787911"/>
    <w:rsid w:val="34EB76F8"/>
    <w:rsid w:val="37370864"/>
    <w:rsid w:val="38E87D68"/>
    <w:rsid w:val="3A564669"/>
    <w:rsid w:val="433A36BF"/>
    <w:rsid w:val="434117D0"/>
    <w:rsid w:val="43A014B2"/>
    <w:rsid w:val="44270B00"/>
    <w:rsid w:val="45717BEE"/>
    <w:rsid w:val="46E945F7"/>
    <w:rsid w:val="46F76A39"/>
    <w:rsid w:val="48B476B7"/>
    <w:rsid w:val="4980173D"/>
    <w:rsid w:val="4A464C06"/>
    <w:rsid w:val="4A4B34C3"/>
    <w:rsid w:val="4BCD6DAB"/>
    <w:rsid w:val="4C1E32C8"/>
    <w:rsid w:val="4C2E28B4"/>
    <w:rsid w:val="4C8C6DCE"/>
    <w:rsid w:val="4FDC5DB5"/>
    <w:rsid w:val="5040456A"/>
    <w:rsid w:val="506A3D30"/>
    <w:rsid w:val="5116614B"/>
    <w:rsid w:val="51A6321F"/>
    <w:rsid w:val="51EE2A05"/>
    <w:rsid w:val="52BE265C"/>
    <w:rsid w:val="54497FD4"/>
    <w:rsid w:val="554D6C24"/>
    <w:rsid w:val="55FF3307"/>
    <w:rsid w:val="59206D12"/>
    <w:rsid w:val="5A7D6B5B"/>
    <w:rsid w:val="5B664DA3"/>
    <w:rsid w:val="5C67627D"/>
    <w:rsid w:val="60FC3B32"/>
    <w:rsid w:val="61930092"/>
    <w:rsid w:val="61C420EE"/>
    <w:rsid w:val="643A4E84"/>
    <w:rsid w:val="6478715D"/>
    <w:rsid w:val="65CD749F"/>
    <w:rsid w:val="65EA2AE3"/>
    <w:rsid w:val="670E4209"/>
    <w:rsid w:val="6732105E"/>
    <w:rsid w:val="679C4B88"/>
    <w:rsid w:val="6DCE16B4"/>
    <w:rsid w:val="6F3954A1"/>
    <w:rsid w:val="6F587A3F"/>
    <w:rsid w:val="6FE6AF8F"/>
    <w:rsid w:val="711939CB"/>
    <w:rsid w:val="716C63F3"/>
    <w:rsid w:val="732268D5"/>
    <w:rsid w:val="73DDF5A4"/>
    <w:rsid w:val="780155A7"/>
    <w:rsid w:val="78071524"/>
    <w:rsid w:val="78953DFA"/>
    <w:rsid w:val="78EB0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pPr>
    <w:rPr>
      <w:szCs w:val="20"/>
    </w:rPr>
  </w:style>
  <w:style w:type="paragraph" w:customStyle="1" w:styleId="3">
    <w:name w:val="正文首行缩进2个字 Char"/>
    <w:basedOn w:val="1"/>
    <w:qFormat/>
    <w:uiPriority w:val="0"/>
    <w:pPr>
      <w:widowControl/>
      <w:ind w:firstLine="480" w:firstLineChars="200"/>
      <w:jc w:val="left"/>
    </w:pPr>
    <w:rPr>
      <w:rFonts w:ascii="宋体" w:hAnsi="宋体" w:eastAsia="楷体" w:cs="宋体"/>
      <w:color w:val="auto"/>
      <w:sz w:val="24"/>
    </w:rPr>
  </w:style>
  <w:style w:type="paragraph" w:styleId="4">
    <w:name w:val="List 3"/>
    <w:basedOn w:val="1"/>
    <w:qFormat/>
    <w:uiPriority w:val="0"/>
    <w:pPr>
      <w:widowControl/>
      <w:spacing w:line="240" w:lineRule="auto"/>
      <w:ind w:left="0" w:leftChars="0" w:firstLine="0" w:firstLineChars="0"/>
      <w:jc w:val="center"/>
    </w:pPr>
    <w:rPr>
      <w:rFonts w:ascii="Times New Roman" w:hAnsi="Times New Roman" w:cs="宋体"/>
      <w:kern w:val="0"/>
      <w:sz w:val="21"/>
    </w:rPr>
  </w:style>
  <w:style w:type="paragraph" w:styleId="5">
    <w:name w:val="annotation text"/>
    <w:basedOn w:val="1"/>
    <w:semiHidden/>
    <w:unhideWhenUsed/>
    <w:qFormat/>
    <w:uiPriority w:val="99"/>
    <w:pPr>
      <w:jc w:val="left"/>
    </w:pPr>
  </w:style>
  <w:style w:type="paragraph" w:styleId="6">
    <w:name w:val="Body Text"/>
    <w:basedOn w:val="1"/>
    <w:qFormat/>
    <w:uiPriority w:val="0"/>
    <w:pPr>
      <w:widowControl/>
      <w:snapToGrid w:val="0"/>
      <w:spacing w:before="60" w:after="160" w:line="259" w:lineRule="auto"/>
      <w:ind w:right="113"/>
    </w:pPr>
    <w:rPr>
      <w:kern w:val="0"/>
      <w:sz w:val="18"/>
      <w:szCs w:val="20"/>
    </w:rPr>
  </w:style>
  <w:style w:type="paragraph" w:styleId="7">
    <w:name w:val="Block Text"/>
    <w:basedOn w:val="1"/>
    <w:semiHidden/>
    <w:unhideWhenUsed/>
    <w:qFormat/>
    <w:uiPriority w:val="99"/>
    <w:pPr>
      <w:spacing w:after="120"/>
      <w:ind w:left="1440" w:leftChars="700" w:right="1440" w:rightChars="700"/>
    </w:pPr>
  </w:style>
  <w:style w:type="paragraph" w:styleId="8">
    <w:name w:val="Plain Text"/>
    <w:basedOn w:val="1"/>
    <w:unhideWhenUsed/>
    <w:qFormat/>
    <w:uiPriority w:val="99"/>
    <w:rPr>
      <w:rFonts w:ascii="宋体" w:hAnsi="Courier New" w:eastAsia="宋体" w:cs="Courier New"/>
      <w:szCs w:val="21"/>
    </w:rPr>
  </w:style>
  <w:style w:type="paragraph" w:styleId="9">
    <w:name w:val="toc 1"/>
    <w:basedOn w:val="1"/>
    <w:next w:val="1"/>
    <w:unhideWhenUsed/>
    <w:qFormat/>
    <w:uiPriority w:val="39"/>
  </w:style>
  <w:style w:type="paragraph" w:customStyle="1" w:styleId="12">
    <w:name w:val="Default"/>
    <w:unhideWhenUsed/>
    <w:qFormat/>
    <w:uiPriority w:val="0"/>
    <w:pPr>
      <w:widowControl w:val="0"/>
      <w:autoSpaceDE w:val="0"/>
      <w:autoSpaceDN w:val="0"/>
      <w:adjustRightInd w:val="0"/>
      <w:spacing w:beforeLines="0" w:afterLines="0"/>
    </w:pPr>
    <w:rPr>
      <w:rFonts w:hint="eastAsia" w:ascii="宋体" w:hAnsi="Calibri" w:eastAsia="宋体" w:cs="Times New Roman"/>
      <w:color w:val="000000"/>
      <w:sz w:val="24"/>
      <w:szCs w:val="22"/>
      <w:lang w:val="en-US" w:eastAsia="zh-CN"/>
    </w:rPr>
  </w:style>
  <w:style w:type="paragraph" w:styleId="13">
    <w:name w:val="List Paragraph"/>
    <w:basedOn w:val="1"/>
    <w:qFormat/>
    <w:uiPriority w:val="34"/>
    <w:pPr>
      <w:ind w:firstLine="420" w:firstLineChars="200"/>
    </w:pPr>
  </w:style>
  <w:style w:type="paragraph" w:customStyle="1" w:styleId="14">
    <w:name w:val="表格文字2"/>
    <w:basedOn w:val="1"/>
    <w:qFormat/>
    <w:uiPriority w:val="0"/>
    <w:pPr>
      <w:tabs>
        <w:tab w:val="left" w:pos="277"/>
        <w:tab w:val="left" w:pos="600"/>
        <w:tab w:val="left" w:pos="780"/>
        <w:tab w:val="left" w:pos="2517"/>
      </w:tabs>
      <w:adjustRightInd w:val="0"/>
      <w:spacing w:before="60"/>
      <w:jc w:val="center"/>
      <w:textAlignment w:val="baseline"/>
    </w:pPr>
    <w:rPr>
      <w:kern w:val="0"/>
    </w:rPr>
  </w:style>
  <w:style w:type="paragraph" w:customStyle="1" w:styleId="15">
    <w:name w:val="正文 首行缩进:  2 字符"/>
    <w:basedOn w:val="1"/>
    <w:qFormat/>
    <w:uiPriority w:val="0"/>
    <w:pPr>
      <w:tabs>
        <w:tab w:val="left" w:pos="5400"/>
      </w:tabs>
      <w:spacing w:before="60" w:line="460" w:lineRule="exact"/>
      <w:ind w:firstLine="480" w:firstLineChars="200"/>
    </w:pPr>
    <w:rPr>
      <w:rFonts w:ascii="Arial" w:hAnsi="Arial" w:eastAsia="Arial" w:cs="Arial"/>
      <w:color w:val="000000"/>
      <w:sz w:val="24"/>
      <w:szCs w:val="24"/>
    </w:rPr>
  </w:style>
  <w:style w:type="paragraph" w:customStyle="1" w:styleId="16">
    <w:name w:val="正文首行缩进 2 + Times New Roman"/>
    <w:basedOn w:val="1"/>
    <w:qFormat/>
    <w:uiPriority w:val="99"/>
    <w:pPr>
      <w:tabs>
        <w:tab w:val="left" w:pos="0"/>
        <w:tab w:val="left" w:pos="3150"/>
      </w:tabs>
      <w:autoSpaceDE w:val="0"/>
      <w:autoSpaceDN w:val="0"/>
      <w:spacing w:line="360" w:lineRule="auto"/>
      <w:ind w:firstLine="480"/>
      <w:jc w:val="left"/>
    </w:pPr>
    <w:rPr>
      <w:kern w:val="0"/>
      <w:sz w:val="24"/>
    </w:rPr>
  </w:style>
  <w:style w:type="paragraph" w:styleId="17">
    <w:name w:val="No Spacing"/>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2895</Words>
  <Characters>3138</Characters>
  <Lines>17</Lines>
  <Paragraphs>5</Paragraphs>
  <TotalTime>38</TotalTime>
  <ScaleCrop>false</ScaleCrop>
  <LinksUpToDate>false</LinksUpToDate>
  <CharactersWithSpaces>3157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2020-04-02T23:25:00Z</dcterms:created>
  <dc:creator>PC</dc:creator>
  <cp:lastModifiedBy>如果你也听说1387178614</cp:lastModifiedBy>
  <dcterms:modified xsi:type="dcterms:W3CDTF">2022-05-31T07:17:39Z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77C394305A284A96A9CFD6A177F1C79D</vt:lpwstr>
  </property>
</Properties>
</file>