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00"/>
        </w:tabs>
        <w:ind w:right="-514"/>
        <w:jc w:val="center"/>
        <w:rPr>
          <w:rFonts w:eastAsia="黑体"/>
          <w:spacing w:val="80"/>
          <w:sz w:val="44"/>
        </w:rPr>
      </w:pPr>
    </w:p>
    <w:p>
      <w:pPr>
        <w:tabs>
          <w:tab w:val="left" w:pos="9000"/>
        </w:tabs>
        <w:ind w:right="-514"/>
        <w:jc w:val="center"/>
        <w:rPr>
          <w:rFonts w:eastAsia="黑体"/>
          <w:spacing w:val="80"/>
          <w:sz w:val="44"/>
        </w:rPr>
      </w:pPr>
    </w:p>
    <w:p>
      <w:pPr>
        <w:tabs>
          <w:tab w:val="left" w:pos="9000"/>
        </w:tabs>
        <w:ind w:right="-514"/>
        <w:jc w:val="center"/>
        <w:rPr>
          <w:rFonts w:eastAsia="黑体"/>
          <w:spacing w:val="80"/>
          <w:sz w:val="44"/>
        </w:rPr>
      </w:pPr>
    </w:p>
    <w:p>
      <w:pPr>
        <w:tabs>
          <w:tab w:val="left" w:pos="9000"/>
        </w:tabs>
        <w:ind w:right="-514"/>
        <w:jc w:val="center"/>
        <w:rPr>
          <w:rFonts w:eastAsia="黑体"/>
          <w:spacing w:val="80"/>
          <w:sz w:val="52"/>
          <w:szCs w:val="52"/>
        </w:rPr>
      </w:pPr>
      <w:r>
        <w:rPr>
          <w:rFonts w:eastAsia="黑体"/>
          <w:spacing w:val="80"/>
          <w:sz w:val="52"/>
          <w:szCs w:val="52"/>
        </w:rPr>
        <w:t>建设项目竣工环境保护</w:t>
      </w:r>
    </w:p>
    <w:p>
      <w:pPr>
        <w:tabs>
          <w:tab w:val="left" w:pos="9000"/>
        </w:tabs>
        <w:ind w:right="-514"/>
        <w:jc w:val="center"/>
        <w:rPr>
          <w:rFonts w:eastAsia="黑体"/>
          <w:spacing w:val="80"/>
          <w:sz w:val="52"/>
          <w:szCs w:val="52"/>
        </w:rPr>
      </w:pPr>
      <w:r>
        <w:rPr>
          <w:rFonts w:eastAsia="黑体"/>
          <w:spacing w:val="80"/>
          <w:sz w:val="52"/>
          <w:szCs w:val="52"/>
        </w:rPr>
        <w:t>验收监测报告表</w:t>
      </w:r>
    </w:p>
    <w:p>
      <w:pPr>
        <w:tabs>
          <w:tab w:val="left" w:pos="9000"/>
        </w:tabs>
        <w:ind w:right="-514"/>
        <w:rPr>
          <w:sz w:val="32"/>
        </w:rPr>
      </w:pPr>
    </w:p>
    <w:p>
      <w:pPr>
        <w:tabs>
          <w:tab w:val="left" w:pos="9000"/>
        </w:tabs>
        <w:ind w:left="1456" w:right="-514" w:hanging="1456" w:hangingChars="520"/>
        <w:rPr>
          <w:sz w:val="28"/>
          <w:szCs w:val="28"/>
        </w:rPr>
      </w:pPr>
    </w:p>
    <w:p>
      <w:pPr>
        <w:pStyle w:val="4"/>
        <w:bidi w:val="0"/>
        <w:rPr>
          <w:rFonts w:hint="eastAsia"/>
          <w:lang w:val="en-US" w:eastAsia="zh-CN"/>
        </w:rPr>
      </w:pPr>
      <w:r>
        <w:rPr>
          <w:rFonts w:hint="eastAsia"/>
          <w:lang w:val="en-US" w:eastAsia="zh-CN"/>
        </w:rPr>
        <w:t xml:space="preserve">    </w:t>
      </w:r>
    </w:p>
    <w:p>
      <w:pPr>
        <w:tabs>
          <w:tab w:val="left" w:pos="9000"/>
        </w:tabs>
        <w:ind w:left="1456" w:right="-514" w:hanging="1456" w:hangingChars="520"/>
        <w:rPr>
          <w:rFonts w:hint="default"/>
          <w:sz w:val="28"/>
          <w:szCs w:val="28"/>
          <w:lang w:val="en-US" w:eastAsia="zh-CN"/>
        </w:rPr>
      </w:pPr>
    </w:p>
    <w:p>
      <w:pPr>
        <w:tabs>
          <w:tab w:val="left" w:pos="0"/>
          <w:tab w:val="left" w:pos="993"/>
        </w:tabs>
        <w:spacing w:line="500" w:lineRule="exact"/>
        <w:jc w:val="center"/>
        <w:rPr>
          <w:rFonts w:hint="eastAsia" w:eastAsia="宋体"/>
          <w:bCs/>
          <w:sz w:val="32"/>
          <w:szCs w:val="32"/>
          <w:u w:val="single"/>
          <w:lang w:eastAsia="zh-CN"/>
        </w:rPr>
      </w:pPr>
      <w:r>
        <w:rPr>
          <w:sz w:val="32"/>
          <w:szCs w:val="32"/>
        </w:rPr>
        <w:t>项目名称：</w:t>
      </w:r>
      <w:r>
        <w:rPr>
          <w:rFonts w:hint="eastAsia"/>
          <w:bCs/>
          <w:sz w:val="32"/>
          <w:szCs w:val="32"/>
          <w:u w:val="single"/>
          <w:lang w:eastAsia="zh-CN"/>
        </w:rPr>
        <w:t>年加工20000立方石材生产线项目</w:t>
      </w:r>
    </w:p>
    <w:p>
      <w:pPr>
        <w:tabs>
          <w:tab w:val="left" w:pos="9000"/>
        </w:tabs>
        <w:ind w:right="-514"/>
        <w:rPr>
          <w:sz w:val="32"/>
          <w:szCs w:val="32"/>
        </w:rPr>
      </w:pPr>
    </w:p>
    <w:p>
      <w:pPr>
        <w:tabs>
          <w:tab w:val="left" w:pos="9000"/>
        </w:tabs>
        <w:ind w:right="-514"/>
        <w:jc w:val="center"/>
        <w:rPr>
          <w:rFonts w:hint="eastAsia" w:eastAsia="宋体"/>
          <w:b/>
          <w:sz w:val="32"/>
          <w:szCs w:val="32"/>
          <w:u w:val="single"/>
          <w:lang w:eastAsia="zh-CN"/>
        </w:rPr>
      </w:pPr>
      <w:r>
        <w:rPr>
          <w:sz w:val="32"/>
          <w:szCs w:val="32"/>
        </w:rPr>
        <w:t>委托单位：</w:t>
      </w:r>
      <w:r>
        <w:rPr>
          <w:rFonts w:hint="eastAsia"/>
          <w:bCs/>
          <w:sz w:val="32"/>
          <w:szCs w:val="32"/>
          <w:u w:val="single"/>
          <w:lang w:eastAsia="zh-CN"/>
        </w:rPr>
        <w:t>宁波市海曙诺盛矿业有限公司</w:t>
      </w:r>
    </w:p>
    <w:p>
      <w:pPr>
        <w:tabs>
          <w:tab w:val="left" w:pos="9000"/>
        </w:tabs>
        <w:ind w:right="-514" w:firstLine="900" w:firstLineChars="250"/>
        <w:rPr>
          <w:spacing w:val="20"/>
          <w:sz w:val="32"/>
          <w:szCs w:val="32"/>
          <w:u w:val="single"/>
        </w:rPr>
      </w:pPr>
    </w:p>
    <w:p>
      <w:pPr>
        <w:tabs>
          <w:tab w:val="left" w:pos="9000"/>
        </w:tabs>
        <w:ind w:right="-514"/>
        <w:jc w:val="center"/>
        <w:rPr>
          <w:sz w:val="32"/>
        </w:rPr>
      </w:pPr>
    </w:p>
    <w:p>
      <w:pPr>
        <w:tabs>
          <w:tab w:val="left" w:pos="9000"/>
        </w:tabs>
        <w:ind w:right="-514"/>
        <w:jc w:val="center"/>
        <w:rPr>
          <w:sz w:val="32"/>
        </w:rPr>
      </w:pPr>
    </w:p>
    <w:p>
      <w:pPr>
        <w:tabs>
          <w:tab w:val="left" w:pos="9000"/>
        </w:tabs>
        <w:ind w:right="-514"/>
        <w:jc w:val="center"/>
        <w:rPr>
          <w:sz w:val="32"/>
        </w:rPr>
      </w:pPr>
    </w:p>
    <w:p>
      <w:pPr>
        <w:tabs>
          <w:tab w:val="left" w:pos="9000"/>
        </w:tabs>
        <w:ind w:right="-514"/>
        <w:jc w:val="center"/>
        <w:rPr>
          <w:sz w:val="32"/>
        </w:rPr>
      </w:pPr>
    </w:p>
    <w:p>
      <w:pPr>
        <w:tabs>
          <w:tab w:val="left" w:pos="9000"/>
        </w:tabs>
        <w:ind w:right="-514"/>
        <w:jc w:val="center"/>
        <w:rPr>
          <w:sz w:val="32"/>
        </w:rPr>
      </w:pPr>
    </w:p>
    <w:p>
      <w:pPr>
        <w:autoSpaceDE w:val="0"/>
        <w:autoSpaceDN w:val="0"/>
        <w:adjustRightInd w:val="0"/>
        <w:spacing w:line="360" w:lineRule="auto"/>
        <w:jc w:val="center"/>
        <w:rPr>
          <w:sz w:val="32"/>
          <w:szCs w:val="32"/>
        </w:rPr>
      </w:pPr>
      <w:r>
        <w:rPr>
          <w:sz w:val="32"/>
          <w:szCs w:val="32"/>
        </w:rPr>
        <w:t>20</w:t>
      </w:r>
      <w:r>
        <w:rPr>
          <w:rFonts w:hint="eastAsia"/>
          <w:sz w:val="32"/>
          <w:szCs w:val="32"/>
        </w:rPr>
        <w:t>2</w:t>
      </w:r>
      <w:r>
        <w:rPr>
          <w:rFonts w:hint="eastAsia"/>
          <w:sz w:val="32"/>
          <w:szCs w:val="32"/>
          <w:lang w:val="en-US" w:eastAsia="zh-CN"/>
        </w:rPr>
        <w:t>2</w:t>
      </w:r>
      <w:r>
        <w:rPr>
          <w:sz w:val="32"/>
          <w:szCs w:val="32"/>
        </w:rPr>
        <w:t xml:space="preserve"> 年 </w:t>
      </w:r>
      <w:r>
        <w:rPr>
          <w:rFonts w:hint="eastAsia"/>
          <w:sz w:val="32"/>
          <w:szCs w:val="32"/>
          <w:lang w:val="en-US" w:eastAsia="zh-CN"/>
        </w:rPr>
        <w:t>07</w:t>
      </w:r>
      <w:r>
        <w:rPr>
          <w:sz w:val="32"/>
          <w:szCs w:val="32"/>
        </w:rPr>
        <w:t xml:space="preserve"> 月</w:t>
      </w:r>
    </w:p>
    <w:p>
      <w:pPr>
        <w:rPr>
          <w:rFonts w:ascii="Times New Roman" w:hAnsi="Times New Roman"/>
          <w:szCs w:val="24"/>
        </w:rPr>
      </w:pPr>
      <w:r>
        <w:rPr>
          <w:rFonts w:ascii="Times New Roman" w:hAnsi="Times New Roman"/>
          <w:szCs w:val="24"/>
        </w:rPr>
        <w:br w:type="page"/>
      </w:r>
    </w:p>
    <w:p>
      <w:pPr>
        <w:pStyle w:val="3"/>
        <w:jc w:val="both"/>
        <w:rPr>
          <w:rFonts w:ascii="Times New Roman" w:hAnsi="Times New Roman"/>
        </w:rPr>
      </w:pPr>
      <w:r>
        <w:rPr>
          <w:rFonts w:ascii="Times New Roman" w:hAnsi="Times New Roman"/>
          <w:szCs w:val="24"/>
        </w:rPr>
        <w:t>表一</w:t>
      </w:r>
    </w:p>
    <w:tbl>
      <w:tblPr>
        <w:tblStyle w:val="20"/>
        <w:tblW w:w="94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841"/>
        <w:gridCol w:w="477"/>
        <w:gridCol w:w="1513"/>
        <w:gridCol w:w="700"/>
        <w:gridCol w:w="586"/>
        <w:gridCol w:w="844"/>
        <w:gridCol w:w="11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建设项目名称</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lang w:eastAsia="zh-CN"/>
              </w:rPr>
            </w:pPr>
            <w:r>
              <w:rPr>
                <w:rFonts w:hint="eastAsia"/>
                <w:sz w:val="24"/>
                <w:lang w:eastAsia="zh-CN"/>
              </w:rPr>
              <w:t>宁波市海曙诺盛矿业有限公司年加工20000立方石材生产线项目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建设单位名称</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szCs w:val="24"/>
                <w:lang w:eastAsia="zh-CN"/>
              </w:rPr>
            </w:pPr>
            <w:r>
              <w:rPr>
                <w:rFonts w:hint="eastAsia"/>
                <w:sz w:val="24"/>
                <w:lang w:eastAsia="zh-CN"/>
              </w:rPr>
              <w:t>宁波市海曙诺盛矿业有限公司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建设项目性质</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rPr>
            </w:pPr>
            <w:r>
              <w:rPr>
                <w:sz w:val="24"/>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建设地点</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lang w:eastAsia="zh-CN"/>
              </w:rPr>
            </w:pPr>
            <w:r>
              <w:rPr>
                <w:rFonts w:hint="eastAsia"/>
                <w:sz w:val="24"/>
                <w:szCs w:val="24"/>
                <w:lang w:eastAsia="zh-CN"/>
              </w:rPr>
              <w:t>海曙区鄞江镇光溪村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主要产品名称</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 w:val="24"/>
                <w:lang w:val="en-US" w:eastAsia="zh-CN"/>
              </w:rPr>
            </w:pPr>
            <w:r>
              <w:rPr>
                <w:rFonts w:hint="eastAsia"/>
                <w:sz w:val="24"/>
                <w:szCs w:val="24"/>
                <w:lang w:eastAsia="zh-CN"/>
              </w:rPr>
              <w:t>石材加工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设计生产能力</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lang w:eastAsia="zh-CN"/>
              </w:rPr>
            </w:pPr>
            <w:r>
              <w:rPr>
                <w:rFonts w:hint="eastAsia"/>
                <w:sz w:val="24"/>
                <w:lang w:eastAsia="zh-CN"/>
              </w:rPr>
              <w:t>年加工20000立方石材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实际生产能力</w:t>
            </w:r>
          </w:p>
        </w:tc>
        <w:tc>
          <w:tcPr>
            <w:tcW w:w="7152" w:type="dxa"/>
            <w:gridSpan w:val="7"/>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lang w:eastAsia="zh-CN"/>
              </w:rPr>
            </w:pPr>
            <w:r>
              <w:rPr>
                <w:rFonts w:hint="eastAsia"/>
                <w:sz w:val="24"/>
                <w:lang w:eastAsia="zh-CN"/>
              </w:rPr>
              <w:t>年加工20000立方石材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建设项目</w:t>
            </w:r>
          </w:p>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环评时间</w:t>
            </w:r>
          </w:p>
        </w:tc>
        <w:tc>
          <w:tcPr>
            <w:tcW w:w="2318"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rPr>
              <w:t>201</w:t>
            </w:r>
            <w:r>
              <w:rPr>
                <w:rFonts w:hint="eastAsia"/>
                <w:sz w:val="24"/>
                <w:lang w:val="en-US" w:eastAsia="zh-CN"/>
              </w:rPr>
              <w:t>6</w:t>
            </w:r>
            <w:r>
              <w:rPr>
                <w:sz w:val="24"/>
              </w:rPr>
              <w:t>年</w:t>
            </w:r>
            <w:r>
              <w:rPr>
                <w:rFonts w:hint="eastAsia"/>
                <w:sz w:val="24"/>
                <w:lang w:val="en-US" w:eastAsia="zh-CN"/>
              </w:rPr>
              <w:t>03</w:t>
            </w:r>
            <w:r>
              <w:rPr>
                <w:sz w:val="24"/>
              </w:rPr>
              <w:t>月</w:t>
            </w:r>
          </w:p>
        </w:tc>
        <w:tc>
          <w:tcPr>
            <w:tcW w:w="2213"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开工建设时间</w:t>
            </w:r>
          </w:p>
        </w:tc>
        <w:tc>
          <w:tcPr>
            <w:tcW w:w="2621" w:type="dxa"/>
            <w:gridSpan w:val="3"/>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rPr>
              <w:t>20</w:t>
            </w:r>
            <w:r>
              <w:rPr>
                <w:rFonts w:hint="eastAsia"/>
                <w:sz w:val="24"/>
                <w:lang w:val="en-US" w:eastAsia="zh-CN"/>
              </w:rPr>
              <w:t>16</w:t>
            </w:r>
            <w:r>
              <w:rPr>
                <w:sz w:val="24"/>
              </w:rPr>
              <w:t>年</w:t>
            </w:r>
            <w:r>
              <w:rPr>
                <w:rFonts w:hint="eastAsia"/>
                <w:sz w:val="24"/>
                <w:lang w:val="en-US" w:eastAsia="zh-CN"/>
              </w:rPr>
              <w:t>07</w:t>
            </w:r>
            <w:r>
              <w:rPr>
                <w:sz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调试时间</w:t>
            </w:r>
          </w:p>
        </w:tc>
        <w:tc>
          <w:tcPr>
            <w:tcW w:w="2318"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w:t>
            </w:r>
          </w:p>
        </w:tc>
        <w:tc>
          <w:tcPr>
            <w:tcW w:w="2213"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验收现场监测时间</w:t>
            </w:r>
          </w:p>
        </w:tc>
        <w:tc>
          <w:tcPr>
            <w:tcW w:w="2621" w:type="dxa"/>
            <w:gridSpan w:val="3"/>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lang w:eastAsia="zh-CN"/>
              </w:rPr>
            </w:pPr>
            <w:r>
              <w:rPr>
                <w:rFonts w:hint="eastAsia"/>
                <w:sz w:val="24"/>
                <w:lang w:eastAsia="zh-CN"/>
              </w:rPr>
              <w:t>2022-07-11、2022-07-12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环评报告表</w:t>
            </w:r>
          </w:p>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审批部门</w:t>
            </w:r>
          </w:p>
        </w:tc>
        <w:tc>
          <w:tcPr>
            <w:tcW w:w="2318"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szCs w:val="24"/>
                <w:lang w:eastAsia="zh-CN"/>
              </w:rPr>
            </w:pPr>
            <w:r>
              <w:rPr>
                <w:sz w:val="24"/>
                <w:szCs w:val="24"/>
              </w:rPr>
              <w:t>宁波市生态环境局</w:t>
            </w:r>
            <w:r>
              <w:rPr>
                <w:rFonts w:hint="eastAsia"/>
                <w:sz w:val="24"/>
                <w:szCs w:val="24"/>
                <w:lang w:val="en-US" w:eastAsia="zh-CN"/>
              </w:rPr>
              <w:t>鄞州</w:t>
            </w:r>
            <w:r>
              <w:rPr>
                <w:sz w:val="24"/>
                <w:szCs w:val="24"/>
              </w:rPr>
              <w:t>分局</w:t>
            </w:r>
            <w:r>
              <w:rPr>
                <w:rFonts w:hint="eastAsia"/>
                <w:sz w:val="24"/>
                <w:szCs w:val="24"/>
                <w:lang w:eastAsia="zh-CN"/>
              </w:rPr>
              <w:t>（</w:t>
            </w:r>
            <w:r>
              <w:rPr>
                <w:rFonts w:hint="eastAsia"/>
                <w:sz w:val="24"/>
                <w:szCs w:val="24"/>
                <w:lang w:val="en-US" w:eastAsia="zh-CN"/>
              </w:rPr>
              <w:t>原宁波市鄞州区环境保护局</w:t>
            </w:r>
            <w:r>
              <w:rPr>
                <w:rFonts w:hint="eastAsia"/>
                <w:sz w:val="24"/>
                <w:szCs w:val="24"/>
                <w:lang w:eastAsia="zh-CN"/>
              </w:rPr>
              <w:t>）</w:t>
            </w:r>
          </w:p>
        </w:tc>
        <w:tc>
          <w:tcPr>
            <w:tcW w:w="2213"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环评报告表</w:t>
            </w:r>
          </w:p>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编制单位</w:t>
            </w:r>
          </w:p>
        </w:tc>
        <w:tc>
          <w:tcPr>
            <w:tcW w:w="2621" w:type="dxa"/>
            <w:gridSpan w:val="3"/>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 w:val="24"/>
                <w:szCs w:val="24"/>
                <w:lang w:eastAsia="zh-CN"/>
              </w:rPr>
            </w:pPr>
            <w:r>
              <w:rPr>
                <w:rFonts w:hint="eastAsia"/>
                <w:sz w:val="24"/>
                <w:szCs w:val="24"/>
                <w:lang w:eastAsia="zh-CN"/>
              </w:rPr>
              <w:t>浙江环耀环境建设有限公司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环保设施</w:t>
            </w:r>
          </w:p>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设计单位</w:t>
            </w:r>
          </w:p>
        </w:tc>
        <w:tc>
          <w:tcPr>
            <w:tcW w:w="2318"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w:t>
            </w:r>
          </w:p>
        </w:tc>
        <w:tc>
          <w:tcPr>
            <w:tcW w:w="2213"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环保设施</w:t>
            </w:r>
          </w:p>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施工单位</w:t>
            </w:r>
          </w:p>
        </w:tc>
        <w:tc>
          <w:tcPr>
            <w:tcW w:w="2621" w:type="dxa"/>
            <w:gridSpan w:val="3"/>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投资总概算</w:t>
            </w:r>
          </w:p>
        </w:tc>
        <w:tc>
          <w:tcPr>
            <w:tcW w:w="184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rPr>
            </w:pPr>
            <w:r>
              <w:rPr>
                <w:rFonts w:hint="eastAsia"/>
                <w:sz w:val="24"/>
                <w:szCs w:val="24"/>
                <w:lang w:val="en-US" w:eastAsia="zh-CN"/>
              </w:rPr>
              <w:t>3260</w:t>
            </w:r>
            <w:r>
              <w:rPr>
                <w:sz w:val="24"/>
              </w:rPr>
              <w:t>万元</w:t>
            </w:r>
          </w:p>
        </w:tc>
        <w:tc>
          <w:tcPr>
            <w:tcW w:w="1990"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环保投资总概算</w:t>
            </w:r>
          </w:p>
        </w:tc>
        <w:tc>
          <w:tcPr>
            <w:tcW w:w="1286"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rFonts w:hint="eastAsia"/>
                <w:sz w:val="24"/>
                <w:lang w:val="en-US" w:eastAsia="zh-CN"/>
              </w:rPr>
              <w:t>72</w:t>
            </w:r>
            <w:r>
              <w:rPr>
                <w:sz w:val="24"/>
              </w:rPr>
              <w:t>万元</w:t>
            </w:r>
          </w:p>
        </w:tc>
        <w:tc>
          <w:tcPr>
            <w:tcW w:w="844"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比例</w:t>
            </w:r>
          </w:p>
        </w:tc>
        <w:tc>
          <w:tcPr>
            <w:tcW w:w="119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rFonts w:hint="eastAsia"/>
                <w:sz w:val="24"/>
                <w:lang w:val="en-US" w:eastAsia="zh-CN"/>
              </w:rPr>
              <w:t>2.2</w:t>
            </w:r>
            <w:r>
              <w:rPr>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实际总投资</w:t>
            </w:r>
          </w:p>
        </w:tc>
        <w:tc>
          <w:tcPr>
            <w:tcW w:w="184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rFonts w:hint="eastAsia"/>
                <w:sz w:val="24"/>
                <w:szCs w:val="24"/>
                <w:lang w:val="en-US" w:eastAsia="zh-CN"/>
              </w:rPr>
              <w:t>3260</w:t>
            </w:r>
            <w:r>
              <w:rPr>
                <w:sz w:val="24"/>
              </w:rPr>
              <w:t>万元</w:t>
            </w:r>
          </w:p>
        </w:tc>
        <w:tc>
          <w:tcPr>
            <w:tcW w:w="1990"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实际环保投资</w:t>
            </w:r>
          </w:p>
        </w:tc>
        <w:tc>
          <w:tcPr>
            <w:tcW w:w="1286" w:type="dxa"/>
            <w:gridSpan w:val="2"/>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rFonts w:hint="eastAsia"/>
                <w:sz w:val="24"/>
                <w:lang w:val="en-US" w:eastAsia="zh-CN"/>
              </w:rPr>
              <w:t>75</w:t>
            </w:r>
            <w:r>
              <w:rPr>
                <w:sz w:val="24"/>
              </w:rPr>
              <w:t>万元</w:t>
            </w:r>
          </w:p>
        </w:tc>
        <w:tc>
          <w:tcPr>
            <w:tcW w:w="844"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比例</w:t>
            </w:r>
          </w:p>
        </w:tc>
        <w:tc>
          <w:tcPr>
            <w:tcW w:w="1191"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rFonts w:hint="eastAsia"/>
                <w:sz w:val="24"/>
                <w:lang w:val="en-US" w:eastAsia="zh-CN"/>
              </w:rPr>
              <w:t>2.3</w:t>
            </w:r>
            <w:r>
              <w:rPr>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6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验收监测依据</w:t>
            </w:r>
          </w:p>
        </w:tc>
        <w:tc>
          <w:tcPr>
            <w:tcW w:w="7152" w:type="dxa"/>
            <w:gridSpan w:val="7"/>
            <w:tcBorders>
              <w:tl2br w:val="nil"/>
              <w:tr2bl w:val="nil"/>
            </w:tcBorders>
          </w:tcPr>
          <w:p>
            <w:pPr>
              <w:keepNext w:val="0"/>
              <w:keepLines w:val="0"/>
              <w:numPr>
                <w:ilvl w:val="0"/>
                <w:numId w:val="1"/>
              </w:numPr>
              <w:suppressLineNumbers w:val="0"/>
              <w:spacing w:before="0" w:beforeAutospacing="0" w:after="0" w:afterAutospacing="0" w:line="360" w:lineRule="auto"/>
              <w:ind w:left="0" w:right="0" w:firstLine="480" w:firstLineChars="200"/>
              <w:rPr>
                <w:bCs/>
                <w:kern w:val="0"/>
                <w:sz w:val="24"/>
                <w:szCs w:val="24"/>
              </w:rPr>
            </w:pPr>
            <w:r>
              <w:rPr>
                <w:bCs/>
                <w:kern w:val="0"/>
                <w:sz w:val="24"/>
                <w:szCs w:val="24"/>
              </w:rPr>
              <w:t>《中华人民共和国环境保护法》（2014年4月24日修订，2015年1月1日起施行）；</w:t>
            </w:r>
          </w:p>
          <w:p>
            <w:pPr>
              <w:keepNext w:val="0"/>
              <w:keepLines w:val="0"/>
              <w:suppressLineNumbers w:val="0"/>
              <w:spacing w:before="0" w:beforeAutospacing="0" w:after="0" w:afterAutospacing="0" w:line="360" w:lineRule="auto"/>
              <w:ind w:left="0" w:right="0" w:firstLine="480" w:firstLineChars="200"/>
              <w:rPr>
                <w:bCs/>
                <w:kern w:val="0"/>
                <w:sz w:val="24"/>
                <w:szCs w:val="24"/>
              </w:rPr>
            </w:pPr>
            <w:r>
              <w:rPr>
                <w:bCs/>
                <w:kern w:val="0"/>
                <w:sz w:val="24"/>
                <w:szCs w:val="24"/>
              </w:rPr>
              <w:t>2、《建设项目环境保护管理条例》，国务院第682号令，2017年7月；</w:t>
            </w:r>
          </w:p>
          <w:p>
            <w:pPr>
              <w:keepNext w:val="0"/>
              <w:keepLines w:val="0"/>
              <w:suppressLineNumbers w:val="0"/>
              <w:spacing w:before="0" w:beforeAutospacing="0" w:after="0" w:afterAutospacing="0" w:line="360" w:lineRule="auto"/>
              <w:ind w:left="0" w:right="0" w:firstLine="480" w:firstLineChars="200"/>
              <w:rPr>
                <w:bCs/>
                <w:kern w:val="0"/>
                <w:sz w:val="24"/>
                <w:szCs w:val="24"/>
              </w:rPr>
            </w:pPr>
            <w:r>
              <w:rPr>
                <w:bCs/>
                <w:kern w:val="0"/>
                <w:sz w:val="24"/>
                <w:szCs w:val="24"/>
              </w:rPr>
              <w:t>3、《关于发布&lt;建设项目竣工环境保护验收技术指南 污染影响类&gt;的公告》（2018年第9号），生态环境部办公厅，2018年5月16日；</w:t>
            </w:r>
          </w:p>
          <w:p>
            <w:pPr>
              <w:keepNext w:val="0"/>
              <w:keepLines w:val="0"/>
              <w:suppressLineNumbers w:val="0"/>
              <w:spacing w:before="0" w:beforeAutospacing="0" w:after="0" w:afterAutospacing="0" w:line="360" w:lineRule="auto"/>
              <w:ind w:left="0" w:right="0" w:firstLine="480" w:firstLineChars="200"/>
              <w:rPr>
                <w:bCs/>
                <w:kern w:val="0"/>
                <w:sz w:val="24"/>
                <w:szCs w:val="24"/>
              </w:rPr>
            </w:pPr>
            <w:r>
              <w:rPr>
                <w:bCs/>
                <w:kern w:val="0"/>
                <w:sz w:val="24"/>
                <w:szCs w:val="24"/>
              </w:rPr>
              <w:t>4、《</w:t>
            </w:r>
            <w:r>
              <w:rPr>
                <w:rFonts w:hint="eastAsia"/>
                <w:sz w:val="24"/>
                <w:lang w:eastAsia="zh-CN"/>
              </w:rPr>
              <w:t>宁波市海曙诺盛矿业有限公司年加工20000立方石材生产线项目</w:t>
            </w:r>
            <w:r>
              <w:rPr>
                <w:bCs/>
                <w:kern w:val="0"/>
                <w:sz w:val="24"/>
                <w:szCs w:val="24"/>
              </w:rPr>
              <w:t>环境影响报告表》，</w:t>
            </w:r>
            <w:r>
              <w:rPr>
                <w:rFonts w:hint="eastAsia"/>
                <w:sz w:val="24"/>
                <w:szCs w:val="24"/>
                <w:lang w:eastAsia="zh-CN"/>
              </w:rPr>
              <w:t>浙江环耀环境建设有限公司</w:t>
            </w:r>
            <w:r>
              <w:rPr>
                <w:sz w:val="24"/>
                <w:szCs w:val="24"/>
              </w:rPr>
              <w:t>，</w:t>
            </w:r>
            <w:r>
              <w:rPr>
                <w:bCs/>
                <w:kern w:val="0"/>
                <w:sz w:val="24"/>
                <w:szCs w:val="24"/>
              </w:rPr>
              <w:t>201</w:t>
            </w:r>
            <w:r>
              <w:rPr>
                <w:rFonts w:hint="eastAsia"/>
                <w:bCs/>
                <w:kern w:val="0"/>
                <w:sz w:val="24"/>
                <w:szCs w:val="24"/>
                <w:lang w:val="en-US" w:eastAsia="zh-CN"/>
              </w:rPr>
              <w:t>6</w:t>
            </w:r>
            <w:r>
              <w:rPr>
                <w:bCs/>
                <w:kern w:val="0"/>
                <w:sz w:val="24"/>
                <w:szCs w:val="24"/>
              </w:rPr>
              <w:t>年</w:t>
            </w:r>
            <w:r>
              <w:rPr>
                <w:rFonts w:hint="eastAsia"/>
                <w:bCs/>
                <w:kern w:val="0"/>
                <w:sz w:val="24"/>
                <w:szCs w:val="24"/>
                <w:lang w:val="en-US" w:eastAsia="zh-CN"/>
              </w:rPr>
              <w:t>03</w:t>
            </w:r>
            <w:r>
              <w:rPr>
                <w:bCs/>
                <w:kern w:val="0"/>
                <w:sz w:val="24"/>
                <w:szCs w:val="24"/>
              </w:rPr>
              <w:t>月；</w:t>
            </w:r>
          </w:p>
          <w:p>
            <w:pPr>
              <w:keepNext w:val="0"/>
              <w:keepLines w:val="0"/>
              <w:suppressLineNumbers w:val="0"/>
              <w:spacing w:before="0" w:beforeAutospacing="0" w:after="0" w:afterAutospacing="0" w:line="360" w:lineRule="auto"/>
              <w:ind w:left="0" w:right="0" w:firstLine="480" w:firstLineChars="200"/>
              <w:rPr>
                <w:sz w:val="24"/>
              </w:rPr>
            </w:pPr>
            <w:r>
              <w:rPr>
                <w:bCs/>
                <w:kern w:val="0"/>
                <w:sz w:val="24"/>
                <w:szCs w:val="24"/>
              </w:rPr>
              <w:t>5、《关于</w:t>
            </w:r>
            <w:r>
              <w:rPr>
                <w:rFonts w:hint="eastAsia"/>
                <w:sz w:val="24"/>
                <w:lang w:eastAsia="zh-CN"/>
              </w:rPr>
              <w:t>宁波市海曙诺盛矿业有限公司年加工20000立方石材生产线项目</w:t>
            </w:r>
            <w:r>
              <w:rPr>
                <w:bCs/>
                <w:kern w:val="0"/>
                <w:sz w:val="24"/>
                <w:szCs w:val="24"/>
              </w:rPr>
              <w:t>环境影响报告表的批复》（</w:t>
            </w:r>
            <w:r>
              <w:rPr>
                <w:rFonts w:hint="eastAsia"/>
                <w:bCs/>
                <w:kern w:val="0"/>
                <w:sz w:val="24"/>
                <w:szCs w:val="24"/>
                <w:lang w:eastAsia="zh-CN"/>
              </w:rPr>
              <w:t>鄞环建〔2016〕0330号</w:t>
            </w:r>
            <w:r>
              <w:rPr>
                <w:sz w:val="24"/>
                <w:szCs w:val="24"/>
              </w:rPr>
              <w:t>），</w:t>
            </w:r>
            <w:r>
              <w:rPr>
                <w:rFonts w:hint="eastAsia"/>
                <w:sz w:val="24"/>
                <w:szCs w:val="24"/>
                <w:lang w:eastAsia="zh-CN"/>
              </w:rPr>
              <w:t>宁波市生态环境局鄞州分局（</w:t>
            </w:r>
            <w:r>
              <w:rPr>
                <w:rFonts w:hint="eastAsia"/>
                <w:sz w:val="24"/>
                <w:szCs w:val="24"/>
                <w:lang w:val="en-US" w:eastAsia="zh-CN"/>
              </w:rPr>
              <w:t>原宁波市鄞州区环境保护局</w:t>
            </w:r>
            <w:r>
              <w:rPr>
                <w:rFonts w:hint="eastAsia"/>
                <w:sz w:val="24"/>
                <w:szCs w:val="24"/>
                <w:lang w:eastAsia="zh-CN"/>
              </w:rPr>
              <w:t>）</w:t>
            </w:r>
            <w:r>
              <w:rPr>
                <w:sz w:val="24"/>
                <w:szCs w:val="24"/>
              </w:rPr>
              <w:t>，</w:t>
            </w:r>
            <w:r>
              <w:rPr>
                <w:rFonts w:hint="eastAsia"/>
                <w:sz w:val="24"/>
                <w:lang w:eastAsia="zh-CN"/>
              </w:rPr>
              <w:t>2016年7月25日</w:t>
            </w:r>
            <w:r>
              <w:rPr>
                <w:rFonts w:hint="eastAsia"/>
                <w:sz w:val="24"/>
              </w:rPr>
              <w:t>。</w:t>
            </w:r>
          </w:p>
        </w:tc>
      </w:tr>
    </w:tbl>
    <w:p>
      <w:pPr>
        <w:tabs>
          <w:tab w:val="left" w:pos="3402"/>
        </w:tabs>
        <w:autoSpaceDE w:val="0"/>
        <w:autoSpaceDN w:val="0"/>
        <w:adjustRightInd w:val="0"/>
        <w:spacing w:line="360" w:lineRule="auto"/>
        <w:rPr>
          <w:sz w:val="24"/>
          <w:szCs w:val="24"/>
        </w:rPr>
        <w:sectPr>
          <w:headerReference r:id="rId3" w:type="default"/>
          <w:footerReference r:id="rId4" w:type="default"/>
          <w:pgSz w:w="11906" w:h="16838"/>
          <w:pgMar w:top="1134" w:right="1417" w:bottom="1134" w:left="1417" w:header="851" w:footer="992" w:gutter="0"/>
          <w:pgBorders>
            <w:top w:val="none" w:sz="0" w:space="0"/>
            <w:left w:val="none" w:sz="0" w:space="0"/>
            <w:bottom w:val="none" w:sz="0" w:space="0"/>
            <w:right w:val="none" w:sz="0" w:space="0"/>
          </w:pgBorders>
          <w:pgNumType w:start="1"/>
          <w:cols w:space="720" w:num="1"/>
          <w:docGrid w:type="lines" w:linePitch="312" w:charSpace="0"/>
        </w:sectPr>
      </w:pPr>
    </w:p>
    <w:tbl>
      <w:tblPr>
        <w:tblStyle w:val="20"/>
        <w:tblW w:w="94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54"/>
        <w:gridCol w:w="77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29" w:hRule="atLeast"/>
          <w:jc w:val="center"/>
        </w:trPr>
        <w:tc>
          <w:tcPr>
            <w:tcW w:w="1654"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 w:val="24"/>
                <w:szCs w:val="24"/>
              </w:rPr>
            </w:pPr>
            <w:r>
              <w:rPr>
                <w:sz w:val="24"/>
                <w:szCs w:val="24"/>
              </w:rPr>
              <w:t>验收监测评价标准、标号、级别、限值</w:t>
            </w:r>
          </w:p>
        </w:tc>
        <w:tc>
          <w:tcPr>
            <w:tcW w:w="7766" w:type="dxa"/>
            <w:tcBorders>
              <w:tl2br w:val="nil"/>
              <w:tr2bl w:val="nil"/>
            </w:tcBorders>
          </w:tcPr>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4"/>
              </w:rPr>
            </w:pPr>
            <w:r>
              <w:rPr>
                <w:bCs/>
                <w:sz w:val="24"/>
                <w:szCs w:val="24"/>
              </w:rPr>
              <w:t>1、废水排放标准</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本项目生活污水经化粪池预处理后通过生化处理达标后回用，生产废水经污水处理设备处理达标后回用。</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4"/>
              </w:rPr>
            </w:pPr>
            <w:r>
              <w:rPr>
                <w:bCs/>
                <w:sz w:val="24"/>
                <w:szCs w:val="24"/>
              </w:rPr>
              <w:t>2、废气排放标准</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ascii="Times New Roman" w:hAnsi="Times New Roman" w:eastAsia="宋体" w:cs="Times New Roman"/>
                <w:sz w:val="24"/>
              </w:rPr>
              <w:t>项</w:t>
            </w:r>
            <w:r>
              <w:rPr>
                <w:rFonts w:hint="eastAsia" w:ascii="Times New Roman" w:hAnsi="Times New Roman" w:eastAsia="宋体" w:cs="Times New Roman"/>
                <w:sz w:val="24"/>
                <w:lang w:val="en-US" w:eastAsia="zh-CN"/>
              </w:rPr>
              <w:t>目废气主要来源石材加工过程中产生的粉尘</w:t>
            </w:r>
            <w:r>
              <w:rPr>
                <w:rFonts w:hint="eastAsia" w:cs="Times New Roman"/>
                <w:sz w:val="24"/>
                <w:lang w:val="en-US" w:eastAsia="zh-CN"/>
              </w:rPr>
              <w:t>，颗粒物排放执行</w:t>
            </w:r>
            <w:r>
              <w:rPr>
                <w:rFonts w:hint="eastAsia" w:ascii="宋体" w:hAnsi="Times New Roman" w:eastAsia="宋体" w:cs="Times New Roman"/>
                <w:sz w:val="24"/>
                <w:szCs w:val="20"/>
                <w:lang w:val="en-US" w:eastAsia="zh-CN" w:bidi="ar"/>
              </w:rPr>
              <w:t>《大气污染物综合排放标准》</w:t>
            </w:r>
            <w:r>
              <w:rPr>
                <w:rFonts w:hint="eastAsia" w:ascii="Times New Roman" w:hAnsi="Times New Roman" w:eastAsia="宋体" w:cs="Times New Roman"/>
                <w:sz w:val="24"/>
                <w:lang w:val="en-US" w:eastAsia="zh-CN"/>
              </w:rPr>
              <w:t>(</w:t>
            </w:r>
            <w:r>
              <w:rPr>
                <w:rFonts w:hint="eastAsia" w:ascii="宋体" w:hAnsi="Times New Roman" w:eastAsia="宋体" w:cs="Times New Roman"/>
                <w:sz w:val="24"/>
                <w:szCs w:val="20"/>
                <w:lang w:val="en-US" w:eastAsia="zh-CN" w:bidi="ar"/>
              </w:rPr>
              <w:t>GB16297-1996</w:t>
            </w:r>
            <w:r>
              <w:rPr>
                <w:rFonts w:hint="eastAsia" w:ascii="Times New Roman" w:hAnsi="Times New Roman" w:eastAsia="宋体" w:cs="Times New Roman"/>
                <w:sz w:val="24"/>
                <w:lang w:val="en-US" w:eastAsia="zh-CN"/>
              </w:rPr>
              <w:t xml:space="preserve"> ）</w:t>
            </w:r>
            <w:r>
              <w:rPr>
                <w:rFonts w:hint="eastAsia" w:ascii="宋体" w:hAnsi="Times New Roman" w:eastAsia="宋体" w:cs="Times New Roman"/>
                <w:sz w:val="24"/>
                <w:szCs w:val="20"/>
                <w:lang w:val="en-US" w:eastAsia="zh-CN" w:bidi="ar"/>
              </w:rPr>
              <w:t>“新污染源大气污染物排放限值”二级标准</w:t>
            </w:r>
            <w:r>
              <w:rPr>
                <w:rFonts w:hint="eastAsia" w:ascii="Times New Roman" w:hAnsi="Times New Roman" w:eastAsia="宋体" w:cs="Times New Roman"/>
                <w:sz w:val="24"/>
                <w:lang w:val="en-US" w:eastAsia="zh-CN"/>
              </w:rPr>
              <w:t>，详见表1-2。</w:t>
            </w:r>
          </w:p>
          <w:p>
            <w:pPr>
              <w:keepNext w:val="0"/>
              <w:keepLines w:val="0"/>
              <w:suppressLineNumbers w:val="0"/>
              <w:adjustRightInd w:val="0"/>
              <w:snapToGrid w:val="0"/>
              <w:spacing w:before="0" w:beforeAutospacing="0" w:after="0" w:afterAutospacing="0"/>
              <w:ind w:left="0" w:right="0"/>
              <w:jc w:val="center"/>
              <w:rPr>
                <w:b/>
                <w:bCs/>
                <w:sz w:val="24"/>
              </w:rPr>
            </w:pPr>
            <w:r>
              <w:rPr>
                <w:rFonts w:hint="eastAsia"/>
                <w:b/>
                <w:bCs/>
                <w:sz w:val="24"/>
              </w:rPr>
              <w:t>表1-</w:t>
            </w:r>
            <w:r>
              <w:rPr>
                <w:b/>
                <w:bCs/>
                <w:sz w:val="24"/>
              </w:rPr>
              <w:t xml:space="preserve">2 </w:t>
            </w:r>
            <w:r>
              <w:rPr>
                <w:rFonts w:hint="eastAsia"/>
                <w:b/>
                <w:bCs/>
                <w:sz w:val="24"/>
                <w:lang w:val="en-US" w:eastAsia="zh-CN"/>
              </w:rPr>
              <w:t>水泥工业</w:t>
            </w:r>
            <w:r>
              <w:rPr>
                <w:rFonts w:hint="eastAsia"/>
                <w:b/>
                <w:bCs/>
                <w:sz w:val="24"/>
              </w:rPr>
              <w:t>大气污染物排放标准</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612"/>
              <w:gridCol w:w="3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trPr>
              <w:tc>
                <w:tcPr>
                  <w:tcW w:w="1114" w:type="pc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kern w:val="0"/>
                      <w:sz w:val="21"/>
                      <w:szCs w:val="21"/>
                      <w:lang w:val="en-US" w:eastAsia="zh-CN" w:bidi="ar-SA"/>
                    </w:rPr>
                  </w:pPr>
                  <w:r>
                    <w:rPr>
                      <w:b/>
                      <w:bCs/>
                      <w:kern w:val="0"/>
                      <w:sz w:val="21"/>
                      <w:szCs w:val="21"/>
                    </w:rPr>
                    <w:t>污染物</w:t>
                  </w:r>
                </w:p>
              </w:tc>
              <w:tc>
                <w:tcPr>
                  <w:tcW w:w="1732"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 w:val="21"/>
                      <w:szCs w:val="21"/>
                      <w:lang w:val="en-US" w:eastAsia="zh-CN" w:bidi="ar-SA"/>
                    </w:rPr>
                  </w:pPr>
                  <w:r>
                    <w:rPr>
                      <w:b/>
                      <w:bCs/>
                      <w:kern w:val="0"/>
                      <w:sz w:val="21"/>
                      <w:szCs w:val="21"/>
                    </w:rPr>
                    <w:t>最高允许排放浓度（mg/m</w:t>
                  </w:r>
                  <w:r>
                    <w:rPr>
                      <w:b/>
                      <w:bCs/>
                      <w:kern w:val="0"/>
                      <w:sz w:val="21"/>
                      <w:szCs w:val="21"/>
                      <w:vertAlign w:val="superscript"/>
                    </w:rPr>
                    <w:t>3</w:t>
                  </w:r>
                  <w:r>
                    <w:rPr>
                      <w:b/>
                      <w:bCs/>
                      <w:kern w:val="0"/>
                      <w:sz w:val="21"/>
                      <w:szCs w:val="21"/>
                    </w:rPr>
                    <w:t>）</w:t>
                  </w:r>
                </w:p>
              </w:tc>
              <w:tc>
                <w:tcPr>
                  <w:tcW w:w="2152"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 w:val="21"/>
                      <w:szCs w:val="21"/>
                      <w:lang w:val="en-US" w:eastAsia="zh-CN" w:bidi="ar-SA"/>
                    </w:rPr>
                  </w:pPr>
                  <w:r>
                    <w:rPr>
                      <w:b/>
                      <w:bCs/>
                      <w:kern w:val="0"/>
                      <w:sz w:val="21"/>
                      <w:szCs w:val="21"/>
                    </w:rPr>
                    <w:t>无组织排放监控浓度限值（mg/m</w:t>
                  </w:r>
                  <w:r>
                    <w:rPr>
                      <w:b/>
                      <w:bCs/>
                      <w:kern w:val="0"/>
                      <w:sz w:val="21"/>
                      <w:szCs w:val="21"/>
                      <w:vertAlign w:val="superscript"/>
                    </w:rPr>
                    <w:t>3</w:t>
                  </w:r>
                  <w:r>
                    <w:rPr>
                      <w:b/>
                      <w:bCs/>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14" w:type="pc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颗粒物</w:t>
                  </w:r>
                </w:p>
              </w:tc>
              <w:tc>
                <w:tcPr>
                  <w:tcW w:w="1732"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eastAsia"/>
                      <w:szCs w:val="21"/>
                      <w:lang w:val="en-US" w:eastAsia="zh-CN"/>
                    </w:rPr>
                    <w:t>120</w:t>
                  </w:r>
                </w:p>
              </w:tc>
              <w:tc>
                <w:tcPr>
                  <w:tcW w:w="2152"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szCs w:val="21"/>
                    </w:rPr>
                    <w:t>≤</w:t>
                  </w:r>
                  <w:r>
                    <w:rPr>
                      <w:rFonts w:hint="eastAsia"/>
                      <w:kern w:val="0"/>
                      <w:sz w:val="21"/>
                      <w:szCs w:val="21"/>
                      <w:lang w:val="en-US" w:eastAsia="zh-CN"/>
                    </w:rPr>
                    <w:t>1.0</w:t>
                  </w:r>
                </w:p>
              </w:tc>
            </w:tr>
          </w:tbl>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4"/>
              </w:rPr>
            </w:pPr>
            <w:r>
              <w:rPr>
                <w:bCs/>
                <w:sz w:val="24"/>
                <w:szCs w:val="24"/>
              </w:rPr>
              <w:t>3、噪声排放标准</w:t>
            </w:r>
          </w:p>
          <w:p>
            <w:pPr>
              <w:keepNext w:val="0"/>
              <w:keepLines w:val="0"/>
              <w:suppressLineNumbers w:val="0"/>
              <w:adjustRightInd w:val="0"/>
              <w:snapToGrid w:val="0"/>
              <w:spacing w:before="0" w:beforeAutospacing="0" w:after="0" w:afterAutospacing="0" w:line="360" w:lineRule="auto"/>
              <w:ind w:left="0" w:right="0"/>
              <w:rPr>
                <w:bCs/>
                <w:sz w:val="24"/>
                <w:szCs w:val="24"/>
              </w:rPr>
            </w:pPr>
            <w:r>
              <w:rPr>
                <w:bCs/>
                <w:sz w:val="24"/>
                <w:szCs w:val="24"/>
              </w:rPr>
              <w:t xml:space="preserve">    厂界</w:t>
            </w:r>
            <w:r>
              <w:rPr>
                <w:sz w:val="24"/>
              </w:rPr>
              <w:t>噪声排放执行《工业企业厂界环境噪声排放标准》（GB12348-2008）</w:t>
            </w:r>
            <w:r>
              <w:rPr>
                <w:rFonts w:hint="eastAsia"/>
                <w:sz w:val="24"/>
                <w:lang w:val="en-US" w:eastAsia="zh-CN"/>
              </w:rPr>
              <w:t>2</w:t>
            </w:r>
            <w:r>
              <w:rPr>
                <w:sz w:val="24"/>
              </w:rPr>
              <w:t>类标准</w:t>
            </w:r>
            <w:r>
              <w:rPr>
                <w:rFonts w:hint="eastAsia"/>
                <w:bCs/>
                <w:sz w:val="24"/>
                <w:szCs w:val="24"/>
              </w:rPr>
              <w:t>，</w:t>
            </w:r>
            <w:r>
              <w:rPr>
                <w:bCs/>
                <w:sz w:val="24"/>
                <w:szCs w:val="24"/>
              </w:rPr>
              <w:t>详见表1-</w:t>
            </w:r>
            <w:r>
              <w:rPr>
                <w:rFonts w:hint="eastAsia"/>
                <w:bCs/>
                <w:sz w:val="24"/>
                <w:szCs w:val="24"/>
                <w:lang w:val="en-US" w:eastAsia="zh-CN"/>
              </w:rPr>
              <w:t>3</w:t>
            </w:r>
            <w:r>
              <w:rPr>
                <w:bCs/>
                <w:sz w:val="24"/>
                <w:szCs w:val="24"/>
              </w:rPr>
              <w:t>。</w:t>
            </w: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表1-</w:t>
            </w:r>
            <w:r>
              <w:rPr>
                <w:rFonts w:hint="eastAsia"/>
                <w:b/>
                <w:bCs/>
                <w:sz w:val="24"/>
                <w:lang w:val="en-US" w:eastAsia="zh-CN"/>
              </w:rPr>
              <w:t>3</w:t>
            </w:r>
            <w:r>
              <w:rPr>
                <w:b/>
                <w:bCs/>
                <w:sz w:val="24"/>
              </w:rPr>
              <w:t xml:space="preserve"> </w:t>
            </w:r>
            <w:r>
              <w:rPr>
                <w:rFonts w:hint="eastAsia"/>
                <w:b/>
                <w:bCs/>
                <w:sz w:val="24"/>
              </w:rPr>
              <w:t>工业企业</w:t>
            </w:r>
            <w:r>
              <w:rPr>
                <w:b/>
                <w:bCs/>
                <w:sz w:val="24"/>
              </w:rPr>
              <w:t>厂界</w:t>
            </w:r>
            <w:r>
              <w:rPr>
                <w:rFonts w:hint="eastAsia"/>
                <w:b/>
                <w:bCs/>
                <w:sz w:val="24"/>
              </w:rPr>
              <w:t>环境</w:t>
            </w:r>
            <w:r>
              <w:rPr>
                <w:b/>
                <w:bCs/>
                <w:sz w:val="24"/>
              </w:rPr>
              <w:t>噪声排放标准</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2"/>
              <w:gridCol w:w="2513"/>
              <w:gridCol w:w="2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1666" w:type="pct"/>
                  <w:vMerge w:val="restart"/>
                  <w:vAlign w:val="center"/>
                </w:tcPr>
                <w:p>
                  <w:pPr>
                    <w:keepNext w:val="0"/>
                    <w:keepLines w:val="0"/>
                    <w:suppressLineNumbers w:val="0"/>
                    <w:spacing w:before="0" w:beforeAutospacing="0" w:after="0" w:afterAutospacing="0"/>
                    <w:ind w:left="0" w:right="0"/>
                    <w:jc w:val="center"/>
                    <w:rPr>
                      <w:b/>
                      <w:bCs/>
                      <w:kern w:val="0"/>
                      <w:sz w:val="21"/>
                      <w:szCs w:val="21"/>
                    </w:rPr>
                  </w:pPr>
                  <w:r>
                    <w:rPr>
                      <w:b/>
                      <w:bCs/>
                      <w:kern w:val="0"/>
                      <w:sz w:val="21"/>
                      <w:szCs w:val="21"/>
                    </w:rPr>
                    <w:t>类别</w:t>
                  </w:r>
                </w:p>
              </w:tc>
              <w:tc>
                <w:tcPr>
                  <w:tcW w:w="3333" w:type="pct"/>
                  <w:gridSpan w:val="2"/>
                  <w:vAlign w:val="center"/>
                </w:tcPr>
                <w:p>
                  <w:pPr>
                    <w:keepNext w:val="0"/>
                    <w:keepLines w:val="0"/>
                    <w:suppressLineNumbers w:val="0"/>
                    <w:spacing w:before="0" w:beforeAutospacing="0" w:after="0" w:afterAutospacing="0"/>
                    <w:ind w:left="0" w:right="0"/>
                    <w:jc w:val="center"/>
                    <w:rPr>
                      <w:b/>
                      <w:bCs/>
                      <w:kern w:val="0"/>
                      <w:sz w:val="21"/>
                      <w:szCs w:val="21"/>
                    </w:rPr>
                  </w:pPr>
                  <w:r>
                    <w:rPr>
                      <w:b/>
                      <w:bCs/>
                      <w:kern w:val="0"/>
                      <w:sz w:val="21"/>
                      <w:szCs w:val="21"/>
                    </w:rPr>
                    <w:t>等效声级（LAeq, 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66" w:type="pct"/>
                  <w:vMerge w:val="continue"/>
                  <w:vAlign w:val="center"/>
                </w:tcPr>
                <w:p>
                  <w:pPr>
                    <w:keepNext w:val="0"/>
                    <w:keepLines w:val="0"/>
                    <w:suppressLineNumbers w:val="0"/>
                    <w:spacing w:before="0" w:beforeAutospacing="0" w:after="0" w:afterAutospacing="0"/>
                    <w:ind w:left="0" w:right="0"/>
                    <w:jc w:val="center"/>
                    <w:rPr>
                      <w:b/>
                      <w:bCs/>
                      <w:kern w:val="0"/>
                      <w:sz w:val="21"/>
                      <w:szCs w:val="21"/>
                    </w:rPr>
                  </w:pPr>
                </w:p>
              </w:tc>
              <w:tc>
                <w:tcPr>
                  <w:tcW w:w="1666" w:type="pct"/>
                  <w:vAlign w:val="center"/>
                </w:tcPr>
                <w:p>
                  <w:pPr>
                    <w:keepNext w:val="0"/>
                    <w:keepLines w:val="0"/>
                    <w:suppressLineNumbers w:val="0"/>
                    <w:spacing w:before="0" w:beforeAutospacing="0" w:after="0" w:afterAutospacing="0"/>
                    <w:ind w:left="0" w:right="0"/>
                    <w:jc w:val="center"/>
                    <w:rPr>
                      <w:b/>
                      <w:bCs/>
                      <w:kern w:val="0"/>
                      <w:sz w:val="21"/>
                      <w:szCs w:val="21"/>
                    </w:rPr>
                  </w:pPr>
                  <w:r>
                    <w:rPr>
                      <w:b/>
                      <w:bCs/>
                      <w:kern w:val="0"/>
                      <w:sz w:val="21"/>
                      <w:szCs w:val="21"/>
                    </w:rPr>
                    <w:t>昼间</w:t>
                  </w:r>
                </w:p>
              </w:tc>
              <w:tc>
                <w:tcPr>
                  <w:tcW w:w="1666" w:type="pct"/>
                  <w:vAlign w:val="center"/>
                </w:tcPr>
                <w:p>
                  <w:pPr>
                    <w:keepNext w:val="0"/>
                    <w:keepLines w:val="0"/>
                    <w:suppressLineNumbers w:val="0"/>
                    <w:spacing w:before="0" w:beforeAutospacing="0" w:after="0" w:afterAutospacing="0"/>
                    <w:ind w:left="0" w:right="0"/>
                    <w:jc w:val="center"/>
                    <w:rPr>
                      <w:b/>
                      <w:bCs/>
                      <w:kern w:val="0"/>
                      <w:sz w:val="21"/>
                      <w:szCs w:val="21"/>
                    </w:rPr>
                  </w:pPr>
                  <w:r>
                    <w:rPr>
                      <w:b/>
                      <w:bCs/>
                      <w:kern w:val="0"/>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66" w:type="pct"/>
                  <w:vAlign w:val="center"/>
                </w:tcPr>
                <w:p>
                  <w:pPr>
                    <w:keepNext w:val="0"/>
                    <w:keepLines w:val="0"/>
                    <w:suppressLineNumbers w:val="0"/>
                    <w:spacing w:before="0" w:beforeAutospacing="0" w:after="0" w:afterAutospacing="0"/>
                    <w:ind w:left="0" w:right="0"/>
                    <w:jc w:val="center"/>
                    <w:rPr>
                      <w:kern w:val="0"/>
                      <w:sz w:val="21"/>
                      <w:szCs w:val="21"/>
                    </w:rPr>
                  </w:pPr>
                  <w:r>
                    <w:rPr>
                      <w:rFonts w:hint="eastAsia"/>
                      <w:kern w:val="0"/>
                      <w:sz w:val="21"/>
                      <w:szCs w:val="21"/>
                      <w:lang w:val="en-US" w:eastAsia="zh-CN"/>
                    </w:rPr>
                    <w:t>2</w:t>
                  </w:r>
                  <w:r>
                    <w:rPr>
                      <w:kern w:val="0"/>
                      <w:sz w:val="21"/>
                      <w:szCs w:val="21"/>
                    </w:rPr>
                    <w:t>类</w:t>
                  </w:r>
                </w:p>
              </w:tc>
              <w:tc>
                <w:tcPr>
                  <w:tcW w:w="1666" w:type="pct"/>
                  <w:vAlign w:val="center"/>
                </w:tcPr>
                <w:p>
                  <w:pPr>
                    <w:keepNext w:val="0"/>
                    <w:keepLines w:val="0"/>
                    <w:suppressLineNumbers w:val="0"/>
                    <w:spacing w:before="0" w:beforeAutospacing="0" w:after="0" w:afterAutospacing="0"/>
                    <w:ind w:left="0" w:right="0"/>
                    <w:jc w:val="center"/>
                    <w:rPr>
                      <w:rFonts w:hint="eastAsia" w:eastAsia="宋体"/>
                      <w:kern w:val="0"/>
                      <w:sz w:val="21"/>
                      <w:szCs w:val="21"/>
                      <w:lang w:eastAsia="zh-CN"/>
                    </w:rPr>
                  </w:pPr>
                  <w:r>
                    <w:rPr>
                      <w:szCs w:val="21"/>
                    </w:rPr>
                    <w:t>≤</w:t>
                  </w:r>
                  <w:r>
                    <w:rPr>
                      <w:kern w:val="0"/>
                      <w:sz w:val="21"/>
                      <w:szCs w:val="21"/>
                    </w:rPr>
                    <w:t>6</w:t>
                  </w:r>
                  <w:r>
                    <w:rPr>
                      <w:rFonts w:hint="eastAsia"/>
                      <w:kern w:val="0"/>
                      <w:sz w:val="21"/>
                      <w:szCs w:val="21"/>
                      <w:lang w:val="en-US" w:eastAsia="zh-CN"/>
                    </w:rPr>
                    <w:t>0</w:t>
                  </w:r>
                </w:p>
              </w:tc>
              <w:tc>
                <w:tcPr>
                  <w:tcW w:w="1666" w:type="pct"/>
                  <w:vAlign w:val="center"/>
                </w:tcPr>
                <w:p>
                  <w:pPr>
                    <w:keepNext w:val="0"/>
                    <w:keepLines w:val="0"/>
                    <w:suppressLineNumbers w:val="0"/>
                    <w:spacing w:before="0" w:beforeAutospacing="0" w:after="0" w:afterAutospacing="0"/>
                    <w:ind w:left="0" w:right="0"/>
                    <w:jc w:val="center"/>
                    <w:rPr>
                      <w:rFonts w:hint="eastAsia" w:eastAsia="宋体"/>
                      <w:kern w:val="0"/>
                      <w:sz w:val="21"/>
                      <w:szCs w:val="21"/>
                      <w:lang w:eastAsia="zh-CN"/>
                    </w:rPr>
                  </w:pPr>
                  <w:r>
                    <w:rPr>
                      <w:szCs w:val="21"/>
                    </w:rPr>
                    <w:t>≤</w:t>
                  </w:r>
                  <w:r>
                    <w:rPr>
                      <w:kern w:val="0"/>
                      <w:sz w:val="21"/>
                      <w:szCs w:val="21"/>
                    </w:rPr>
                    <w:t>5</w:t>
                  </w:r>
                  <w:r>
                    <w:rPr>
                      <w:rFonts w:hint="eastAsia"/>
                      <w:kern w:val="0"/>
                      <w:sz w:val="21"/>
                      <w:szCs w:val="21"/>
                      <w:lang w:val="en-US" w:eastAsia="zh-CN"/>
                    </w:rPr>
                    <w:t>0</w:t>
                  </w:r>
                </w:p>
              </w:tc>
            </w:tr>
          </w:tbl>
          <w:p>
            <w:pPr>
              <w:pStyle w:val="67"/>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both"/>
              <w:textAlignment w:val="auto"/>
              <w:rPr>
                <w:bCs/>
                <w:sz w:val="24"/>
                <w:szCs w:val="24"/>
              </w:rPr>
            </w:pPr>
            <w:r>
              <w:rPr>
                <w:bCs/>
                <w:sz w:val="24"/>
                <w:szCs w:val="24"/>
              </w:rPr>
              <w:t>4、</w:t>
            </w:r>
            <w:r>
              <w:rPr>
                <w:rFonts w:ascii="Times New Roman" w:hAnsi="Times New Roman" w:eastAsia="宋体" w:cs="Times New Roman"/>
                <w:bCs/>
                <w:color w:val="auto"/>
                <w:kern w:val="2"/>
                <w:sz w:val="24"/>
                <w:szCs w:val="24"/>
                <w:lang w:val="en-US" w:eastAsia="zh-CN" w:bidi="ar-SA"/>
              </w:rPr>
              <w:t>总量控制要求</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eastAsia="宋体"/>
                <w:sz w:val="24"/>
                <w:lang w:val="en-US" w:eastAsia="zh-CN"/>
              </w:rPr>
            </w:pPr>
            <w:r>
              <w:rPr>
                <w:rFonts w:hint="eastAsia"/>
                <w:sz w:val="24"/>
                <w:lang w:val="en-US" w:eastAsia="zh-CN"/>
              </w:rPr>
              <w:t>本项目批复无总量控制要求。</w:t>
            </w:r>
          </w:p>
        </w:tc>
      </w:tr>
    </w:tbl>
    <w:p>
      <w:pPr>
        <w:pStyle w:val="3"/>
        <w:jc w:val="both"/>
        <w:rPr>
          <w:rFonts w:ascii="Times New Roman" w:hAnsi="Times New Roman"/>
          <w:szCs w:val="24"/>
        </w:rPr>
        <w:sectPr>
          <w:pgSz w:w="11906" w:h="16838"/>
          <w:pgMar w:top="1134" w:right="1417" w:bottom="1134" w:left="1417" w:header="851" w:footer="992" w:gutter="0"/>
          <w:pgBorders>
            <w:top w:val="none" w:sz="0" w:space="0"/>
            <w:left w:val="none" w:sz="0" w:space="0"/>
            <w:bottom w:val="none" w:sz="0" w:space="0"/>
            <w:right w:val="none" w:sz="0" w:space="0"/>
          </w:pgBorders>
          <w:cols w:space="720" w:num="1"/>
          <w:docGrid w:type="lines" w:linePitch="312" w:charSpace="0"/>
        </w:sectPr>
      </w:pPr>
    </w:p>
    <w:p>
      <w:pPr>
        <w:pStyle w:val="3"/>
        <w:jc w:val="both"/>
        <w:rPr>
          <w:rFonts w:ascii="Times New Roman" w:hAnsi="Times New Roman"/>
          <w:szCs w:val="24"/>
        </w:rPr>
      </w:pPr>
      <w:r>
        <w:rPr>
          <w:rFonts w:ascii="Times New Roman" w:hAnsi="Times New Roman"/>
          <w:szCs w:val="24"/>
        </w:rPr>
        <w:t xml:space="preserve">表二 </w:t>
      </w:r>
    </w:p>
    <w:tbl>
      <w:tblPr>
        <w:tblStyle w:val="20"/>
        <w:tblW w:w="944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autofit"/>
        <w:tblCellMar>
          <w:top w:w="0" w:type="dxa"/>
          <w:left w:w="108" w:type="dxa"/>
          <w:bottom w:w="0" w:type="dxa"/>
          <w:right w:w="108" w:type="dxa"/>
        </w:tblCellMar>
      </w:tblPr>
      <w:tblGrid>
        <w:gridCol w:w="9442"/>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4053" w:hRule="atLeast"/>
          <w:jc w:val="center"/>
        </w:trPr>
        <w:tc>
          <w:tcPr>
            <w:tcW w:w="9442" w:type="dxa"/>
            <w:tcBorders>
              <w:tl2br w:val="nil"/>
              <w:tr2bl w:val="nil"/>
            </w:tcBorders>
            <w:vAlign w:val="top"/>
          </w:tcPr>
          <w:p>
            <w:pPr>
              <w:keepNext w:val="0"/>
              <w:keepLines w:val="0"/>
              <w:suppressLineNumbers w:val="0"/>
              <w:adjustRightInd w:val="0"/>
              <w:snapToGrid w:val="0"/>
              <w:spacing w:before="0" w:beforeAutospacing="0" w:after="0" w:afterAutospacing="0" w:line="360" w:lineRule="auto"/>
              <w:ind w:left="0" w:right="0"/>
              <w:rPr>
                <w:b/>
                <w:bCs/>
                <w:sz w:val="24"/>
              </w:rPr>
            </w:pPr>
            <w:r>
              <w:rPr>
                <w:b/>
                <w:bCs/>
                <w:sz w:val="24"/>
              </w:rPr>
              <w:t>工程建设内容：</w:t>
            </w:r>
          </w:p>
          <w:p>
            <w:pPr>
              <w:keepNext w:val="0"/>
              <w:keepLines w:val="0"/>
              <w:suppressLineNumbers w:val="0"/>
              <w:spacing w:before="0" w:beforeAutospacing="0" w:after="0" w:afterAutospacing="0" w:line="360" w:lineRule="auto"/>
              <w:ind w:left="0" w:right="0" w:firstLine="480" w:firstLineChars="200"/>
              <w:rPr>
                <w:rFonts w:hint="eastAsia"/>
                <w:sz w:val="24"/>
                <w:szCs w:val="24"/>
              </w:rPr>
            </w:pPr>
            <w:r>
              <w:rPr>
                <w:rFonts w:hint="eastAsia"/>
                <w:bCs/>
                <w:kern w:val="0"/>
                <w:sz w:val="24"/>
                <w:szCs w:val="24"/>
                <w:lang w:val="en-US" w:eastAsia="zh-CN"/>
              </w:rPr>
              <w:t>宁波市海曙诺盛矿业有限公司位于宁波市鄞州区鄞江镇光溪村，本项目专门从事石材的加工，所需石材全部来源宁波市海曙诺盛矿业有限公司石矿生产基地，本项目总投资3260万元，占地面积8338平方米，新建建筑面积6500平方米，生产规模为年加工20000立方石材。</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kern w:val="0"/>
                <w:sz w:val="24"/>
                <w:lang w:eastAsia="zh-CN"/>
              </w:rPr>
              <w:t>企业于</w:t>
            </w:r>
            <w:r>
              <w:rPr>
                <w:bCs/>
                <w:kern w:val="0"/>
                <w:sz w:val="24"/>
                <w:szCs w:val="24"/>
              </w:rPr>
              <w:t>201</w:t>
            </w:r>
            <w:r>
              <w:rPr>
                <w:rFonts w:hint="eastAsia"/>
                <w:bCs/>
                <w:kern w:val="0"/>
                <w:sz w:val="24"/>
                <w:szCs w:val="24"/>
                <w:lang w:val="en-US" w:eastAsia="zh-CN"/>
              </w:rPr>
              <w:t>6</w:t>
            </w:r>
            <w:r>
              <w:rPr>
                <w:bCs/>
                <w:kern w:val="0"/>
                <w:sz w:val="24"/>
                <w:szCs w:val="24"/>
              </w:rPr>
              <w:t>年</w:t>
            </w:r>
            <w:r>
              <w:rPr>
                <w:rFonts w:hint="eastAsia"/>
                <w:bCs/>
                <w:kern w:val="0"/>
                <w:sz w:val="24"/>
                <w:szCs w:val="24"/>
                <w:lang w:val="en-US" w:eastAsia="zh-CN"/>
              </w:rPr>
              <w:t>03</w:t>
            </w:r>
            <w:r>
              <w:rPr>
                <w:bCs/>
                <w:kern w:val="0"/>
                <w:sz w:val="24"/>
                <w:szCs w:val="24"/>
              </w:rPr>
              <w:t>月</w:t>
            </w:r>
            <w:r>
              <w:rPr>
                <w:rFonts w:hint="eastAsia" w:ascii="Times New Roman" w:hAnsi="Times New Roman" w:eastAsia="宋体" w:cs="Times New Roman"/>
                <w:kern w:val="0"/>
                <w:sz w:val="24"/>
                <w:lang w:eastAsia="zh-CN"/>
              </w:rPr>
              <w:t>委托</w:t>
            </w:r>
            <w:r>
              <w:rPr>
                <w:rFonts w:hint="eastAsia"/>
                <w:sz w:val="24"/>
                <w:szCs w:val="24"/>
                <w:lang w:eastAsia="zh-CN"/>
              </w:rPr>
              <w:t>浙江环耀环境建设有限公司</w:t>
            </w:r>
            <w:r>
              <w:rPr>
                <w:rFonts w:hint="eastAsia" w:ascii="Times New Roman" w:hAnsi="Times New Roman" w:eastAsia="宋体" w:cs="Times New Roman"/>
                <w:kern w:val="0"/>
                <w:sz w:val="24"/>
                <w:lang w:eastAsia="zh-CN"/>
              </w:rPr>
              <w:t>编制了</w:t>
            </w:r>
            <w:r>
              <w:rPr>
                <w:bCs/>
                <w:kern w:val="0"/>
                <w:sz w:val="24"/>
                <w:szCs w:val="24"/>
              </w:rPr>
              <w:t>《</w:t>
            </w:r>
            <w:r>
              <w:rPr>
                <w:rFonts w:hint="eastAsia"/>
                <w:sz w:val="24"/>
                <w:lang w:eastAsia="zh-CN"/>
              </w:rPr>
              <w:t>宁波市海曙诺盛矿业有限公司年加工20000立方石材生产线项目</w:t>
            </w:r>
            <w:r>
              <w:rPr>
                <w:bCs/>
                <w:kern w:val="0"/>
                <w:sz w:val="24"/>
                <w:szCs w:val="24"/>
              </w:rPr>
              <w:t>环境影响报告表》</w:t>
            </w:r>
            <w:r>
              <w:rPr>
                <w:rFonts w:hint="eastAsia" w:ascii="Times New Roman" w:hAnsi="Times New Roman" w:eastAsia="宋体" w:cs="Times New Roman"/>
                <w:kern w:val="0"/>
                <w:sz w:val="24"/>
                <w:lang w:eastAsia="zh-CN"/>
              </w:rPr>
              <w:t>，于</w:t>
            </w:r>
            <w:r>
              <w:rPr>
                <w:rFonts w:hint="eastAsia"/>
                <w:sz w:val="24"/>
                <w:lang w:eastAsia="zh-CN"/>
              </w:rPr>
              <w:t>2016年7月25日</w:t>
            </w:r>
            <w:r>
              <w:rPr>
                <w:sz w:val="24"/>
                <w:szCs w:val="24"/>
              </w:rPr>
              <w:t>得到</w:t>
            </w:r>
            <w:r>
              <w:rPr>
                <w:rFonts w:hint="eastAsia"/>
                <w:sz w:val="24"/>
                <w:szCs w:val="24"/>
                <w:lang w:eastAsia="zh-CN"/>
              </w:rPr>
              <w:t>宁波市生态环境局鄞州分局（</w:t>
            </w:r>
            <w:r>
              <w:rPr>
                <w:rFonts w:hint="eastAsia"/>
                <w:sz w:val="24"/>
                <w:szCs w:val="24"/>
                <w:lang w:val="en-US" w:eastAsia="zh-CN"/>
              </w:rPr>
              <w:t>原宁波市鄞州区环境保护局</w:t>
            </w:r>
            <w:r>
              <w:rPr>
                <w:rFonts w:hint="eastAsia"/>
                <w:sz w:val="24"/>
                <w:szCs w:val="24"/>
                <w:lang w:eastAsia="zh-CN"/>
              </w:rPr>
              <w:t>）</w:t>
            </w:r>
            <w:r>
              <w:rPr>
                <w:kern w:val="0"/>
                <w:sz w:val="24"/>
              </w:rPr>
              <w:t>出具的关于</w:t>
            </w:r>
            <w:r>
              <w:rPr>
                <w:sz w:val="24"/>
                <w:szCs w:val="24"/>
              </w:rPr>
              <w:t>《</w:t>
            </w:r>
            <w:r>
              <w:rPr>
                <w:rFonts w:hint="eastAsia"/>
                <w:sz w:val="24"/>
                <w:lang w:eastAsia="zh-CN"/>
              </w:rPr>
              <w:t>宁波市海曙诺盛矿业有限公司年加工20000立方石材生产线项目</w:t>
            </w:r>
            <w:r>
              <w:rPr>
                <w:bCs/>
                <w:kern w:val="0"/>
                <w:sz w:val="24"/>
                <w:szCs w:val="24"/>
              </w:rPr>
              <w:t>环境影响报告表</w:t>
            </w:r>
            <w:r>
              <w:rPr>
                <w:rFonts w:hint="eastAsia" w:ascii="Times New Roman" w:hAnsi="Times New Roman" w:eastAsia="宋体" w:cs="Times New Roman"/>
                <w:sz w:val="24"/>
                <w:szCs w:val="24"/>
                <w:lang w:eastAsia="zh-CN"/>
              </w:rPr>
              <w:t>》的批复，批复号：</w:t>
            </w:r>
            <w:r>
              <w:rPr>
                <w:rFonts w:hint="eastAsia"/>
                <w:bCs/>
                <w:kern w:val="0"/>
                <w:sz w:val="24"/>
                <w:szCs w:val="24"/>
                <w:lang w:eastAsia="zh-CN"/>
              </w:rPr>
              <w:t>鄞环建〔2016〕0330号</w:t>
            </w:r>
            <w:r>
              <w:rPr>
                <w:rFonts w:hint="eastAsia" w:ascii="Times New Roman" w:hAnsi="Times New Roman" w:eastAsia="宋体" w:cs="Times New Roman"/>
                <w:sz w:val="24"/>
                <w:szCs w:val="24"/>
                <w:lang w:eastAsia="zh-CN"/>
              </w:rPr>
              <w:t>。</w:t>
            </w:r>
          </w:p>
          <w:p>
            <w:pPr>
              <w:pStyle w:val="63"/>
              <w:keepNext w:val="0"/>
              <w:keepLines w:val="0"/>
              <w:suppressLineNumbers w:val="0"/>
              <w:spacing w:before="0" w:beforeAutospacing="0" w:after="0" w:afterAutospacing="0"/>
              <w:ind w:left="0" w:right="0" w:firstLine="480"/>
              <w:rPr>
                <w:rFonts w:ascii="Times New Roman" w:hAnsi="Times New Roman" w:cs="Times New Roman"/>
              </w:rPr>
            </w:pPr>
            <w:r>
              <w:rPr>
                <w:rFonts w:ascii="Times New Roman" w:hAnsi="Times New Roman" w:cs="Times New Roman"/>
              </w:rPr>
              <w:t>项目员工总数</w:t>
            </w:r>
            <w:r>
              <w:rPr>
                <w:rFonts w:hint="eastAsia" w:ascii="Times New Roman" w:hAnsi="Times New Roman" w:cs="Times New Roman"/>
                <w:lang w:val="en-US" w:eastAsia="zh-CN"/>
              </w:rPr>
              <w:t>约20</w:t>
            </w:r>
            <w:r>
              <w:rPr>
                <w:rFonts w:ascii="Times New Roman" w:hAnsi="Times New Roman" w:cs="Times New Roman"/>
              </w:rPr>
              <w:t>人，实</w:t>
            </w:r>
            <w:r>
              <w:rPr>
                <w:rFonts w:hint="eastAsia" w:ascii="Times New Roman" w:hAnsi="Times New Roman" w:eastAsia="宋体" w:cs="Times New Roman"/>
                <w:lang w:val="en-US" w:eastAsia="zh-CN"/>
              </w:rPr>
              <w:t>行</w:t>
            </w:r>
            <w:r>
              <w:rPr>
                <w:rFonts w:hint="eastAsia" w:ascii="Times New Roman" w:hAnsi="Times New Roman" w:cs="Times New Roman"/>
                <w:lang w:val="en-US" w:eastAsia="zh-CN"/>
              </w:rPr>
              <w:t>8</w:t>
            </w:r>
            <w:r>
              <w:rPr>
                <w:rFonts w:hint="eastAsia" w:ascii="Times New Roman" w:hAnsi="Times New Roman" w:eastAsia="宋体" w:cs="Times New Roman"/>
                <w:lang w:val="zh-CN" w:eastAsia="zh-CN"/>
              </w:rPr>
              <w:t>h</w:t>
            </w:r>
            <w:r>
              <w:rPr>
                <w:rFonts w:hint="eastAsia" w:ascii="Times New Roman" w:hAnsi="Times New Roman" w:cs="Times New Roman"/>
                <w:lang w:val="en-US" w:eastAsia="zh-CN"/>
              </w:rPr>
              <w:t>工作制度</w:t>
            </w:r>
            <w:r>
              <w:rPr>
                <w:rFonts w:ascii="Times New Roman" w:hAnsi="Times New Roman" w:cs="Times New Roman"/>
              </w:rPr>
              <w:t>，年工作日约</w:t>
            </w:r>
            <w:r>
              <w:rPr>
                <w:rFonts w:hint="eastAsia" w:ascii="Times New Roman" w:hAnsi="Times New Roman" w:cs="Times New Roman"/>
                <w:lang w:val="en-US" w:eastAsia="zh-CN"/>
              </w:rPr>
              <w:t>25</w:t>
            </w:r>
            <w:r>
              <w:rPr>
                <w:rFonts w:ascii="Times New Roman" w:hAnsi="Times New Roman" w:cs="Times New Roman"/>
              </w:rPr>
              <w:t>0天。</w:t>
            </w:r>
          </w:p>
          <w:p>
            <w:pPr>
              <w:pStyle w:val="63"/>
              <w:keepNext w:val="0"/>
              <w:keepLines w:val="0"/>
              <w:suppressLineNumbers w:val="0"/>
              <w:spacing w:before="0" w:beforeAutospacing="0" w:after="0" w:afterAutospacing="0"/>
              <w:ind w:left="0" w:right="0" w:firstLine="480"/>
              <w:rPr>
                <w:rFonts w:ascii="Times New Roman" w:hAnsi="Times New Roman" w:cs="Times New Roman"/>
              </w:rPr>
            </w:pPr>
            <w:r>
              <w:rPr>
                <w:rFonts w:ascii="Times New Roman" w:hAnsi="Times New Roman" w:cs="Times New Roman"/>
                <w:bCs/>
              </w:rPr>
              <w:t>项目主要生产设备见表2-1。</w:t>
            </w:r>
          </w:p>
          <w:p>
            <w:pPr>
              <w:keepNext w:val="0"/>
              <w:keepLines w:val="0"/>
              <w:suppressLineNumbers w:val="0"/>
              <w:spacing w:before="0" w:beforeAutospacing="0" w:after="0" w:afterAutospacing="0"/>
              <w:ind w:left="0" w:right="0"/>
              <w:jc w:val="center"/>
              <w:rPr>
                <w:b/>
                <w:bCs w:val="0"/>
                <w:sz w:val="24"/>
                <w:szCs w:val="24"/>
              </w:rPr>
            </w:pPr>
            <w:r>
              <w:rPr>
                <w:b/>
                <w:bCs w:val="0"/>
                <w:sz w:val="24"/>
                <w:szCs w:val="24"/>
              </w:rPr>
              <w:t>表2-1主要生产设备表</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1983"/>
              <w:gridCol w:w="1850"/>
              <w:gridCol w:w="1412"/>
              <w:gridCol w:w="1699"/>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cs="Arial"/>
                      <w:b/>
                      <w:bCs/>
                      <w:sz w:val="21"/>
                      <w:szCs w:val="21"/>
                    </w:rPr>
                  </w:pPr>
                  <w:r>
                    <w:rPr>
                      <w:rFonts w:hint="eastAsia" w:ascii="Times New Roman"/>
                      <w:b/>
                      <w:bCs/>
                      <w:sz w:val="21"/>
                      <w:szCs w:val="21"/>
                    </w:rPr>
                    <w:t>序号</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cs="Arial"/>
                      <w:b/>
                      <w:bCs/>
                      <w:sz w:val="21"/>
                      <w:szCs w:val="21"/>
                    </w:rPr>
                  </w:pPr>
                  <w:r>
                    <w:rPr>
                      <w:rFonts w:hint="eastAsia" w:ascii="Times New Roman"/>
                      <w:b/>
                      <w:bCs/>
                      <w:sz w:val="21"/>
                      <w:szCs w:val="21"/>
                    </w:rPr>
                    <w:t>名称</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cs="Arial"/>
                      <w:b/>
                      <w:bCs/>
                      <w:sz w:val="21"/>
                      <w:szCs w:val="21"/>
                    </w:rPr>
                  </w:pPr>
                  <w:r>
                    <w:rPr>
                      <w:rFonts w:hint="eastAsia" w:ascii="Times New Roman"/>
                      <w:b/>
                      <w:bCs/>
                      <w:sz w:val="21"/>
                      <w:szCs w:val="21"/>
                    </w:rPr>
                    <w:t>型号</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b/>
                      <w:bCs/>
                      <w:sz w:val="21"/>
                      <w:szCs w:val="21"/>
                    </w:rPr>
                  </w:pPr>
                  <w:r>
                    <w:rPr>
                      <w:rFonts w:hint="eastAsia" w:ascii="Times New Roman"/>
                      <w:b/>
                      <w:bCs/>
                      <w:sz w:val="21"/>
                      <w:szCs w:val="21"/>
                      <w:lang w:val="en-US" w:eastAsia="zh-CN"/>
                    </w:rPr>
                    <w:t>环评</w:t>
                  </w:r>
                  <w:r>
                    <w:rPr>
                      <w:rFonts w:hint="eastAsia" w:ascii="Times New Roman"/>
                      <w:b/>
                      <w:bCs/>
                      <w:sz w:val="21"/>
                      <w:szCs w:val="21"/>
                    </w:rPr>
                    <w:t>数量</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b/>
                      <w:bCs/>
                      <w:sz w:val="21"/>
                      <w:szCs w:val="21"/>
                      <w:lang w:val="en-US" w:eastAsia="zh-CN"/>
                    </w:rPr>
                  </w:pPr>
                  <w:r>
                    <w:rPr>
                      <w:rFonts w:hint="eastAsia"/>
                      <w:b/>
                      <w:bCs/>
                      <w:sz w:val="21"/>
                      <w:szCs w:val="21"/>
                      <w:lang w:val="en-US" w:eastAsia="zh-CN"/>
                    </w:rPr>
                    <w:t>实际</w:t>
                  </w:r>
                  <w:r>
                    <w:rPr>
                      <w:rFonts w:hint="eastAsia" w:ascii="Times New Roman"/>
                      <w:b/>
                      <w:bCs/>
                      <w:sz w:val="21"/>
                      <w:szCs w:val="21"/>
                    </w:rPr>
                    <w:t>数量</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b/>
                      <w:bCs/>
                      <w:sz w:val="21"/>
                      <w:szCs w:val="21"/>
                    </w:rPr>
                  </w:pPr>
                  <w:r>
                    <w:rPr>
                      <w:rFonts w:hint="eastAsia" w:ascii="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1</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color w:val="auto"/>
                      <w:sz w:val="21"/>
                      <w:szCs w:val="21"/>
                    </w:rPr>
                    <w:t>柱式磨光机</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M16-1800</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val="en-US" w:eastAsia="zh-CN"/>
                    </w:rPr>
                  </w:pPr>
                  <w:r>
                    <w:rPr>
                      <w:rFonts w:hint="eastAsia" w:ascii="Times New Roman" w:hAnsi="Arial" w:cs="Arial"/>
                      <w:sz w:val="21"/>
                      <w:szCs w:val="21"/>
                    </w:rPr>
                    <w:t>5</w:t>
                  </w:r>
                  <w:r>
                    <w:rPr>
                      <w:rFonts w:hint="eastAsia" w:hAnsi="Arial" w:cs="Arial"/>
                      <w:sz w:val="21"/>
                      <w:szCs w:val="21"/>
                      <w:lang w:val="en-US" w:eastAsia="zh-CN"/>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pacing w:val="5"/>
                      <w:kern w:val="44"/>
                      <w:sz w:val="21"/>
                      <w:szCs w:val="21"/>
                      <w:lang w:val="en-US" w:eastAsia="zh-CN" w:bidi="ar-SA"/>
                    </w:rPr>
                  </w:pPr>
                  <w:r>
                    <w:rPr>
                      <w:rFonts w:hint="eastAsia" w:ascii="Times New Roman" w:hAnsi="Arial" w:cs="Arial"/>
                      <w:sz w:val="21"/>
                      <w:szCs w:val="21"/>
                    </w:rPr>
                    <w:t>5</w:t>
                  </w:r>
                  <w:r>
                    <w:rPr>
                      <w:rFonts w:hint="eastAsia" w:hAnsi="Arial" w:cs="Arial"/>
                      <w:sz w:val="21"/>
                      <w:szCs w:val="21"/>
                      <w:lang w:val="en-US" w:eastAsia="zh-CN"/>
                    </w:rPr>
                    <w:t>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2</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多片桥式机</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QQJ-2000/3000</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1</w:t>
                  </w:r>
                  <w:r>
                    <w:rPr>
                      <w:rFonts w:hint="eastAsia" w:hAnsi="Arial" w:cs="Arial"/>
                      <w:sz w:val="21"/>
                      <w:szCs w:val="21"/>
                      <w:lang w:val="en-US" w:eastAsia="zh-CN"/>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pacing w:val="5"/>
                      <w:kern w:val="44"/>
                      <w:sz w:val="21"/>
                      <w:szCs w:val="21"/>
                      <w:lang w:val="en-US" w:eastAsia="zh-CN" w:bidi="ar-SA"/>
                    </w:rPr>
                  </w:pPr>
                  <w:r>
                    <w:rPr>
                      <w:rFonts w:hint="eastAsia" w:ascii="Times New Roman" w:hAnsi="Arial" w:cs="Arial"/>
                      <w:sz w:val="21"/>
                      <w:szCs w:val="21"/>
                    </w:rPr>
                    <w:t>1</w:t>
                  </w:r>
                  <w:r>
                    <w:rPr>
                      <w:rFonts w:hint="eastAsia" w:hAnsi="Arial" w:cs="Arial"/>
                      <w:sz w:val="21"/>
                      <w:szCs w:val="21"/>
                      <w:lang w:val="en-US" w:eastAsia="zh-CN"/>
                    </w:rPr>
                    <w:t>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3</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液压四柱式切石机</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SDB-1600</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4</w:t>
                  </w:r>
                  <w:r>
                    <w:rPr>
                      <w:rFonts w:hint="eastAsia" w:hAnsi="Arial" w:cs="Arial"/>
                      <w:sz w:val="21"/>
                      <w:szCs w:val="21"/>
                      <w:lang w:val="en-US" w:eastAsia="zh-CN"/>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pacing w:val="5"/>
                      <w:kern w:val="44"/>
                      <w:sz w:val="21"/>
                      <w:szCs w:val="21"/>
                      <w:lang w:val="en-US" w:eastAsia="zh-CN" w:bidi="ar-SA"/>
                    </w:rPr>
                  </w:pPr>
                  <w:r>
                    <w:rPr>
                      <w:rFonts w:hint="eastAsia" w:ascii="Times New Roman" w:hAnsi="Arial" w:cs="Arial"/>
                      <w:sz w:val="21"/>
                      <w:szCs w:val="21"/>
                    </w:rPr>
                    <w:t>4</w:t>
                  </w:r>
                  <w:r>
                    <w:rPr>
                      <w:rFonts w:hint="eastAsia" w:hAnsi="Arial" w:cs="Arial"/>
                      <w:sz w:val="21"/>
                      <w:szCs w:val="21"/>
                      <w:lang w:val="en-US" w:eastAsia="zh-CN"/>
                    </w:rPr>
                    <w:t>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4</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红外线自动切石机</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HWXQJ-600</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4</w:t>
                  </w:r>
                  <w:r>
                    <w:rPr>
                      <w:rFonts w:hint="eastAsia" w:hAnsi="Arial" w:cs="Arial"/>
                      <w:sz w:val="21"/>
                      <w:szCs w:val="21"/>
                      <w:lang w:val="en-US" w:eastAsia="zh-CN"/>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pacing w:val="5"/>
                      <w:kern w:val="44"/>
                      <w:sz w:val="21"/>
                      <w:szCs w:val="21"/>
                      <w:lang w:val="en-US" w:eastAsia="zh-CN" w:bidi="ar-SA"/>
                    </w:rPr>
                  </w:pPr>
                  <w:r>
                    <w:rPr>
                      <w:rFonts w:hint="eastAsia" w:ascii="Times New Roman" w:hAnsi="Arial" w:cs="Arial"/>
                      <w:sz w:val="21"/>
                      <w:szCs w:val="21"/>
                    </w:rPr>
                    <w:t>4</w:t>
                  </w:r>
                  <w:r>
                    <w:rPr>
                      <w:rFonts w:hint="eastAsia" w:hAnsi="Arial" w:cs="Arial"/>
                      <w:sz w:val="21"/>
                      <w:szCs w:val="21"/>
                      <w:lang w:val="en-US" w:eastAsia="zh-CN"/>
                    </w:rPr>
                    <w:t>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5</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桥式中切机</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HWXQJ-1200</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5</w:t>
                  </w:r>
                  <w:r>
                    <w:rPr>
                      <w:rFonts w:hint="eastAsia" w:hAnsi="Arial" w:cs="Arial"/>
                      <w:sz w:val="21"/>
                      <w:szCs w:val="21"/>
                      <w:lang w:val="en-US" w:eastAsia="zh-CN"/>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pacing w:val="5"/>
                      <w:kern w:val="44"/>
                      <w:sz w:val="21"/>
                      <w:szCs w:val="21"/>
                      <w:lang w:val="en-US" w:eastAsia="zh-CN" w:bidi="ar-SA"/>
                    </w:rPr>
                  </w:pPr>
                  <w:r>
                    <w:rPr>
                      <w:rFonts w:hint="eastAsia" w:ascii="Times New Roman" w:hAnsi="Arial" w:cs="Arial"/>
                      <w:sz w:val="21"/>
                      <w:szCs w:val="21"/>
                    </w:rPr>
                    <w:t>5</w:t>
                  </w:r>
                  <w:r>
                    <w:rPr>
                      <w:rFonts w:hint="eastAsia" w:hAnsi="Arial" w:cs="Arial"/>
                      <w:sz w:val="21"/>
                      <w:szCs w:val="21"/>
                      <w:lang w:val="en-US" w:eastAsia="zh-CN"/>
                    </w:rPr>
                    <w:t>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val="en-US" w:eastAsia="zh-CN"/>
                    </w:rPr>
                  </w:pPr>
                  <w:r>
                    <w:rPr>
                      <w:rFonts w:hint="eastAsia" w:hAnsi="Arial" w:cs="Arial"/>
                      <w:sz w:val="21"/>
                      <w:szCs w:val="21"/>
                      <w:lang w:val="en-US" w:eastAsia="zh-CN"/>
                    </w:rPr>
                    <w:t>6</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eastAsia="zh-CN"/>
                    </w:rPr>
                  </w:pPr>
                  <w:r>
                    <w:rPr>
                      <w:rFonts w:hint="eastAsia" w:hAnsi="Arial" w:cs="Arial"/>
                      <w:sz w:val="21"/>
                      <w:szCs w:val="21"/>
                      <w:lang w:eastAsia="zh-CN"/>
                    </w:rPr>
                    <w:t>手摇切边片机</w:t>
                  </w:r>
                </w:p>
              </w:tc>
              <w:tc>
                <w:tcPr>
                  <w:tcW w:w="1004" w:type="pct"/>
                  <w:noWrap w:val="0"/>
                  <w:vAlign w:val="center"/>
                </w:tcPr>
                <w:p>
                  <w:pPr>
                    <w:pStyle w:val="48"/>
                    <w:keepNext w:val="0"/>
                    <w:keepLines w:val="0"/>
                    <w:suppressLineNumbers w:val="0"/>
                    <w:spacing w:beforeAutospacing="0" w:afterAutospacing="0"/>
                    <w:ind w:left="0" w:right="0"/>
                    <w:jc w:val="center"/>
                    <w:rPr>
                      <w:rFonts w:hint="default" w:ascii="Times New Roman" w:hAnsi="Arial" w:eastAsia="宋体" w:cs="Arial"/>
                      <w:sz w:val="21"/>
                      <w:szCs w:val="21"/>
                      <w:lang w:val="en-US" w:eastAsia="zh-CN"/>
                    </w:rPr>
                  </w:pPr>
                  <w:r>
                    <w:rPr>
                      <w:rFonts w:hint="eastAsia" w:hAnsi="Arial" w:cs="Arial"/>
                      <w:sz w:val="21"/>
                      <w:szCs w:val="21"/>
                      <w:lang w:val="en-US" w:eastAsia="zh-CN"/>
                    </w:rPr>
                    <w:t>QBJ-600</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val="en-US" w:eastAsia="zh-CN"/>
                    </w:rPr>
                  </w:pPr>
                  <w:r>
                    <w:rPr>
                      <w:rFonts w:hint="eastAsia" w:hAnsi="Arial" w:cs="Arial"/>
                      <w:sz w:val="21"/>
                      <w:szCs w:val="21"/>
                      <w:lang w:val="en-US" w:eastAsia="zh-CN"/>
                    </w:rPr>
                    <w:t>1台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val="en-US" w:eastAsia="zh-CN"/>
                    </w:rPr>
                  </w:pPr>
                  <w:r>
                    <w:rPr>
                      <w:rFonts w:hint="eastAsia" w:hAnsi="Arial" w:cs="Arial"/>
                      <w:sz w:val="21"/>
                      <w:szCs w:val="21"/>
                      <w:lang w:val="en-US" w:eastAsia="zh-CN"/>
                    </w:rPr>
                    <w:t>1台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eastAsia="zh-CN"/>
                    </w:rPr>
                  </w:pPr>
                  <w:r>
                    <w:rPr>
                      <w:rFonts w:hint="eastAsia" w:hAnsi="Arial" w:cs="Arial"/>
                      <w:sz w:val="21"/>
                      <w:szCs w:val="21"/>
                      <w:lang w:val="en-US" w:eastAsia="zh-CN"/>
                    </w:rPr>
                    <w:t>7</w:t>
                  </w:r>
                </w:p>
              </w:tc>
              <w:tc>
                <w:tcPr>
                  <w:tcW w:w="107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单片机</w:t>
                  </w:r>
                </w:p>
              </w:tc>
              <w:tc>
                <w:tcPr>
                  <w:tcW w:w="1004"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w:t>
                  </w:r>
                </w:p>
              </w:tc>
              <w:tc>
                <w:tcPr>
                  <w:tcW w:w="766"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r>
                    <w:rPr>
                      <w:rFonts w:hint="eastAsia" w:ascii="Times New Roman" w:hAnsi="Arial" w:cs="Arial"/>
                      <w:sz w:val="21"/>
                      <w:szCs w:val="21"/>
                    </w:rPr>
                    <w:t>2</w:t>
                  </w:r>
                  <w:r>
                    <w:rPr>
                      <w:rFonts w:hint="eastAsia" w:hAnsi="Arial" w:cs="Arial"/>
                      <w:sz w:val="21"/>
                      <w:szCs w:val="21"/>
                      <w:lang w:val="en-US" w:eastAsia="zh-CN"/>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pacing w:val="5"/>
                      <w:kern w:val="44"/>
                      <w:sz w:val="21"/>
                      <w:szCs w:val="21"/>
                      <w:lang w:val="en-US" w:eastAsia="zh-CN" w:bidi="ar-SA"/>
                    </w:rPr>
                  </w:pPr>
                  <w:r>
                    <w:rPr>
                      <w:rFonts w:hint="eastAsia" w:ascii="Times New Roman" w:hAnsi="Arial" w:cs="Arial"/>
                      <w:sz w:val="21"/>
                      <w:szCs w:val="21"/>
                    </w:rPr>
                    <w:t>2</w:t>
                  </w:r>
                  <w:r>
                    <w:rPr>
                      <w:rFonts w:hint="eastAsia" w:hAnsi="Arial" w:cs="Arial"/>
                      <w:sz w:val="21"/>
                      <w:szCs w:val="21"/>
                      <w:lang w:val="en-US" w:eastAsia="zh-CN"/>
                    </w:rPr>
                    <w:t>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default" w:hAnsi="Arial" w:cs="Arial"/>
                      <w:sz w:val="21"/>
                      <w:szCs w:val="21"/>
                      <w:lang w:val="en-US" w:eastAsia="zh-CN"/>
                    </w:rPr>
                  </w:pPr>
                  <w:r>
                    <w:rPr>
                      <w:rFonts w:hint="eastAsia" w:hAnsi="Arial" w:cs="Arial"/>
                      <w:sz w:val="21"/>
                      <w:szCs w:val="21"/>
                      <w:lang w:val="en-US" w:eastAsia="zh-CN"/>
                    </w:rPr>
                    <w:t>8</w:t>
                  </w:r>
                </w:p>
              </w:tc>
              <w:tc>
                <w:tcPr>
                  <w:tcW w:w="1983" w:type="dxa"/>
                  <w:noWrap w:val="0"/>
                  <w:vAlign w:val="center"/>
                </w:tcPr>
                <w:p>
                  <w:pPr>
                    <w:pStyle w:val="18"/>
                    <w:keepNext w:val="0"/>
                    <w:keepLines w:val="0"/>
                    <w:widowControl w:val="0"/>
                    <w:suppressLineNumbers w:val="0"/>
                    <w:tabs>
                      <w:tab w:val="left" w:pos="277"/>
                      <w:tab w:val="left" w:pos="600"/>
                      <w:tab w:val="left" w:pos="780"/>
                      <w:tab w:val="left" w:pos="2517"/>
                    </w:tabs>
                    <w:adjustRightInd w:val="0"/>
                    <w:spacing w:before="60" w:beforeAutospacing="0" w:after="0" w:afterAutospacing="0"/>
                    <w:ind w:left="0" w:leftChars="0" w:right="0" w:rightChars="0"/>
                    <w:jc w:val="center"/>
                    <w:rPr>
                      <w:rFonts w:hint="eastAsia" w:ascii="Times New Roman" w:hAnsi="Arial" w:cs="Arial"/>
                      <w:sz w:val="21"/>
                      <w:szCs w:val="21"/>
                    </w:rPr>
                  </w:pPr>
                  <w:r>
                    <w:rPr>
                      <w:rFonts w:hint="eastAsia" w:ascii="Times New Roman" w:hAnsi="Arial" w:eastAsia="宋体" w:cs="Arial"/>
                      <w:color w:val="auto"/>
                      <w:spacing w:val="5"/>
                      <w:kern w:val="44"/>
                      <w:sz w:val="21"/>
                      <w:szCs w:val="21"/>
                      <w:lang w:val="en-US" w:eastAsia="zh-CN" w:bidi="ar-SA"/>
                    </w:rPr>
                    <w:t>栗子面加工机</w:t>
                  </w:r>
                </w:p>
              </w:tc>
              <w:tc>
                <w:tcPr>
                  <w:tcW w:w="1850" w:type="dxa"/>
                  <w:noWrap w:val="0"/>
                  <w:vAlign w:val="center"/>
                </w:tcPr>
                <w:p>
                  <w:pPr>
                    <w:pStyle w:val="18"/>
                    <w:keepNext w:val="0"/>
                    <w:keepLines w:val="0"/>
                    <w:widowControl w:val="0"/>
                    <w:suppressLineNumbers w:val="0"/>
                    <w:tabs>
                      <w:tab w:val="left" w:pos="277"/>
                      <w:tab w:val="left" w:pos="600"/>
                      <w:tab w:val="left" w:pos="780"/>
                      <w:tab w:val="left" w:pos="2517"/>
                    </w:tabs>
                    <w:adjustRightInd w:val="0"/>
                    <w:spacing w:before="60" w:beforeAutospacing="0" w:after="0" w:afterAutospacing="0"/>
                    <w:ind w:left="0" w:leftChars="0" w:right="0" w:rightChars="0"/>
                    <w:jc w:val="center"/>
                    <w:rPr>
                      <w:rFonts w:hint="eastAsia" w:ascii="Times New Roman" w:hAnsi="Arial" w:cs="Arial"/>
                      <w:sz w:val="21"/>
                      <w:szCs w:val="21"/>
                    </w:rPr>
                  </w:pPr>
                  <w:r>
                    <w:rPr>
                      <w:rFonts w:hint="default" w:ascii="Times New Roman" w:hAnsi="Arial" w:eastAsia="宋体" w:cs="Arial"/>
                      <w:color w:val="auto"/>
                      <w:spacing w:val="5"/>
                      <w:kern w:val="44"/>
                      <w:sz w:val="21"/>
                      <w:szCs w:val="21"/>
                      <w:lang w:val="en-US" w:eastAsia="zh-CN" w:bidi="ar-SA"/>
                    </w:rPr>
                    <w:t>/</w:t>
                  </w:r>
                </w:p>
              </w:tc>
              <w:tc>
                <w:tcPr>
                  <w:tcW w:w="1412" w:type="dxa"/>
                  <w:noWrap w:val="0"/>
                  <w:vAlign w:val="center"/>
                </w:tcPr>
                <w:p>
                  <w:pPr>
                    <w:pStyle w:val="18"/>
                    <w:keepNext w:val="0"/>
                    <w:keepLines w:val="0"/>
                    <w:widowControl w:val="0"/>
                    <w:suppressLineNumbers w:val="0"/>
                    <w:tabs>
                      <w:tab w:val="left" w:pos="277"/>
                      <w:tab w:val="left" w:pos="600"/>
                      <w:tab w:val="left" w:pos="780"/>
                      <w:tab w:val="left" w:pos="2517"/>
                    </w:tabs>
                    <w:adjustRightInd w:val="0"/>
                    <w:spacing w:before="60" w:beforeAutospacing="0" w:after="0" w:afterAutospacing="0"/>
                    <w:ind w:left="0" w:leftChars="0" w:right="0" w:rightChars="0"/>
                    <w:jc w:val="center"/>
                    <w:rPr>
                      <w:rFonts w:hint="eastAsia" w:ascii="Times New Roman" w:hAnsi="Arial" w:cs="Arial"/>
                      <w:sz w:val="21"/>
                      <w:szCs w:val="21"/>
                    </w:rPr>
                  </w:pPr>
                  <w:r>
                    <w:rPr>
                      <w:rFonts w:hint="default" w:ascii="Times New Roman" w:hAnsi="Arial" w:eastAsia="宋体" w:cs="Arial"/>
                      <w:color w:val="auto"/>
                      <w:spacing w:val="5"/>
                      <w:kern w:val="44"/>
                      <w:sz w:val="21"/>
                      <w:szCs w:val="21"/>
                      <w:lang w:val="en-US" w:eastAsia="zh-CN" w:bidi="ar-SA"/>
                    </w:rPr>
                    <w:t>2</w:t>
                  </w:r>
                  <w:r>
                    <w:rPr>
                      <w:rFonts w:hint="eastAsia" w:ascii="Times New Roman" w:hAnsi="Arial" w:eastAsia="宋体" w:cs="Arial"/>
                      <w:color w:val="auto"/>
                      <w:spacing w:val="5"/>
                      <w:kern w:val="44"/>
                      <w:sz w:val="21"/>
                      <w:szCs w:val="21"/>
                      <w:lang w:val="en-US" w:eastAsia="zh-CN" w:bidi="ar-SA"/>
                    </w:rPr>
                    <w:t>台</w:t>
                  </w:r>
                </w:p>
              </w:tc>
              <w:tc>
                <w:tcPr>
                  <w:tcW w:w="922" w:type="pct"/>
                  <w:noWrap w:val="0"/>
                  <w:vAlign w:val="center"/>
                </w:tcPr>
                <w:p>
                  <w:pPr>
                    <w:pStyle w:val="48"/>
                    <w:keepNext w:val="0"/>
                    <w:keepLines w:val="0"/>
                    <w:suppressLineNumbers w:val="0"/>
                    <w:spacing w:beforeAutospacing="0" w:afterAutospacing="0"/>
                    <w:ind w:left="0" w:right="0"/>
                    <w:jc w:val="center"/>
                    <w:rPr>
                      <w:rFonts w:hint="eastAsia" w:ascii="Times New Roman" w:hAnsi="Arial" w:eastAsia="宋体" w:cs="Arial"/>
                      <w:sz w:val="21"/>
                      <w:szCs w:val="21"/>
                      <w:lang w:val="en-US" w:eastAsia="zh-CN"/>
                    </w:rPr>
                  </w:pPr>
                  <w:r>
                    <w:rPr>
                      <w:rFonts w:hint="eastAsia" w:hAnsi="Arial" w:cs="Arial"/>
                      <w:sz w:val="21"/>
                      <w:szCs w:val="21"/>
                      <w:lang w:val="en-US" w:eastAsia="zh-CN"/>
                    </w:rPr>
                    <w:t>2台</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 w:type="pct"/>
                  <w:noWrap w:val="0"/>
                  <w:vAlign w:val="center"/>
                </w:tcPr>
                <w:p>
                  <w:pPr>
                    <w:pStyle w:val="48"/>
                    <w:keepNext w:val="0"/>
                    <w:keepLines w:val="0"/>
                    <w:suppressLineNumbers w:val="0"/>
                    <w:spacing w:beforeAutospacing="0" w:afterAutospacing="0"/>
                    <w:ind w:left="0" w:right="0"/>
                    <w:jc w:val="center"/>
                    <w:rPr>
                      <w:rFonts w:hint="default" w:hAnsi="Arial" w:cs="Arial"/>
                      <w:sz w:val="21"/>
                      <w:szCs w:val="21"/>
                      <w:lang w:val="en-US" w:eastAsia="zh-CN"/>
                    </w:rPr>
                  </w:pPr>
                  <w:r>
                    <w:rPr>
                      <w:rFonts w:hint="eastAsia" w:hAnsi="Arial" w:cs="Arial"/>
                      <w:sz w:val="21"/>
                      <w:szCs w:val="21"/>
                      <w:lang w:val="en-US" w:eastAsia="zh-CN"/>
                    </w:rPr>
                    <w:t>9</w:t>
                  </w:r>
                </w:p>
              </w:tc>
              <w:tc>
                <w:tcPr>
                  <w:tcW w:w="1983" w:type="dxa"/>
                  <w:noWrap w:val="0"/>
                  <w:vAlign w:val="center"/>
                </w:tcPr>
                <w:p>
                  <w:pPr>
                    <w:pStyle w:val="18"/>
                    <w:keepNext w:val="0"/>
                    <w:keepLines w:val="0"/>
                    <w:widowControl w:val="0"/>
                    <w:suppressLineNumbers w:val="0"/>
                    <w:tabs>
                      <w:tab w:val="left" w:pos="277"/>
                      <w:tab w:val="left" w:pos="600"/>
                      <w:tab w:val="left" w:pos="780"/>
                      <w:tab w:val="left" w:pos="2517"/>
                    </w:tabs>
                    <w:adjustRightInd w:val="0"/>
                    <w:spacing w:before="60" w:beforeAutospacing="0" w:after="0" w:afterAutospacing="0"/>
                    <w:ind w:left="0" w:leftChars="0" w:right="0" w:rightChars="0"/>
                    <w:jc w:val="center"/>
                    <w:rPr>
                      <w:rFonts w:hint="eastAsia" w:ascii="Times New Roman" w:hAnsi="Arial" w:eastAsia="宋体" w:cs="Arial"/>
                      <w:color w:val="auto"/>
                      <w:spacing w:val="5"/>
                      <w:kern w:val="44"/>
                      <w:sz w:val="21"/>
                      <w:szCs w:val="21"/>
                      <w:lang w:val="en-US" w:eastAsia="zh-CN" w:bidi="ar-SA"/>
                    </w:rPr>
                  </w:pPr>
                  <w:r>
                    <w:rPr>
                      <w:rFonts w:hint="eastAsia" w:ascii="Times New Roman" w:hAnsi="Arial" w:cs="Arial"/>
                      <w:color w:val="auto"/>
                      <w:spacing w:val="5"/>
                      <w:kern w:val="44"/>
                      <w:sz w:val="21"/>
                      <w:szCs w:val="21"/>
                      <w:lang w:val="en-US" w:eastAsia="zh-CN" w:bidi="ar-SA"/>
                    </w:rPr>
                    <w:t>轧石机</w:t>
                  </w:r>
                </w:p>
              </w:tc>
              <w:tc>
                <w:tcPr>
                  <w:tcW w:w="1850" w:type="dxa"/>
                  <w:noWrap w:val="0"/>
                  <w:vAlign w:val="center"/>
                </w:tcPr>
                <w:p>
                  <w:pPr>
                    <w:pStyle w:val="18"/>
                    <w:keepNext w:val="0"/>
                    <w:keepLines w:val="0"/>
                    <w:widowControl w:val="0"/>
                    <w:suppressLineNumbers w:val="0"/>
                    <w:tabs>
                      <w:tab w:val="left" w:pos="277"/>
                      <w:tab w:val="left" w:pos="600"/>
                      <w:tab w:val="left" w:pos="780"/>
                      <w:tab w:val="left" w:pos="2517"/>
                    </w:tabs>
                    <w:adjustRightInd w:val="0"/>
                    <w:spacing w:before="60" w:beforeAutospacing="0" w:after="0" w:afterAutospacing="0"/>
                    <w:ind w:left="0" w:leftChars="0" w:right="0" w:rightChars="0"/>
                    <w:jc w:val="center"/>
                    <w:rPr>
                      <w:rFonts w:hint="default" w:ascii="Times New Roman" w:hAnsi="Times New Roman" w:eastAsia="宋体" w:cs="Times New Roman"/>
                      <w:kern w:val="2"/>
                      <w:sz w:val="20"/>
                      <w:szCs w:val="21"/>
                      <w:lang w:val="en-US" w:eastAsia="zh-CN" w:bidi="ar"/>
                    </w:rPr>
                  </w:pPr>
                  <w:r>
                    <w:rPr>
                      <w:rFonts w:hint="eastAsia" w:ascii="Times New Roman" w:hAnsi="Arial" w:cs="Arial"/>
                      <w:sz w:val="21"/>
                      <w:szCs w:val="21"/>
                    </w:rPr>
                    <w:t>/</w:t>
                  </w:r>
                </w:p>
              </w:tc>
              <w:tc>
                <w:tcPr>
                  <w:tcW w:w="1412" w:type="dxa"/>
                  <w:noWrap w:val="0"/>
                  <w:vAlign w:val="center"/>
                </w:tcPr>
                <w:p>
                  <w:pPr>
                    <w:pStyle w:val="18"/>
                    <w:keepNext w:val="0"/>
                    <w:keepLines w:val="0"/>
                    <w:widowControl w:val="0"/>
                    <w:suppressLineNumbers w:val="0"/>
                    <w:tabs>
                      <w:tab w:val="left" w:pos="277"/>
                      <w:tab w:val="left" w:pos="600"/>
                      <w:tab w:val="left" w:pos="780"/>
                      <w:tab w:val="left" w:pos="2517"/>
                    </w:tabs>
                    <w:adjustRightInd w:val="0"/>
                    <w:spacing w:before="60" w:beforeAutospacing="0" w:after="0" w:afterAutospacing="0"/>
                    <w:ind w:left="0" w:leftChars="0" w:right="0" w:rightChars="0"/>
                    <w:jc w:val="center"/>
                    <w:rPr>
                      <w:rFonts w:hint="default" w:ascii="Times New Roman" w:hAnsi="Arial" w:eastAsia="宋体" w:cs="Arial"/>
                      <w:color w:val="auto"/>
                      <w:spacing w:val="5"/>
                      <w:kern w:val="44"/>
                      <w:sz w:val="21"/>
                      <w:szCs w:val="21"/>
                      <w:lang w:val="en-US" w:eastAsia="zh-CN" w:bidi="ar-SA"/>
                    </w:rPr>
                  </w:pPr>
                  <w:r>
                    <w:rPr>
                      <w:rFonts w:hint="eastAsia" w:ascii="Times New Roman" w:hAnsi="Arial" w:cs="Arial"/>
                      <w:color w:val="auto"/>
                      <w:spacing w:val="5"/>
                      <w:kern w:val="44"/>
                      <w:sz w:val="21"/>
                      <w:szCs w:val="21"/>
                      <w:lang w:val="en-US" w:eastAsia="zh-CN" w:bidi="ar-SA"/>
                    </w:rPr>
                    <w:t>1套</w:t>
                  </w:r>
                </w:p>
              </w:tc>
              <w:tc>
                <w:tcPr>
                  <w:tcW w:w="922" w:type="pct"/>
                  <w:noWrap w:val="0"/>
                  <w:vAlign w:val="center"/>
                </w:tcPr>
                <w:p>
                  <w:pPr>
                    <w:pStyle w:val="48"/>
                    <w:keepNext w:val="0"/>
                    <w:keepLines w:val="0"/>
                    <w:suppressLineNumbers w:val="0"/>
                    <w:spacing w:beforeAutospacing="0" w:afterAutospacing="0"/>
                    <w:ind w:left="0" w:right="0"/>
                    <w:jc w:val="center"/>
                    <w:rPr>
                      <w:rFonts w:hint="default" w:hAnsi="Arial" w:cs="Arial"/>
                      <w:sz w:val="21"/>
                      <w:szCs w:val="21"/>
                      <w:lang w:val="en-US" w:eastAsia="zh-CN"/>
                    </w:rPr>
                  </w:pPr>
                  <w:r>
                    <w:rPr>
                      <w:rFonts w:hint="eastAsia" w:hAnsi="Arial" w:cs="Arial"/>
                      <w:sz w:val="21"/>
                      <w:szCs w:val="21"/>
                      <w:lang w:val="en-US" w:eastAsia="zh-CN"/>
                    </w:rPr>
                    <w:t>1套</w:t>
                  </w:r>
                </w:p>
              </w:tc>
              <w:tc>
                <w:tcPr>
                  <w:tcW w:w="918" w:type="pct"/>
                  <w:noWrap w:val="0"/>
                  <w:vAlign w:val="center"/>
                </w:tcPr>
                <w:p>
                  <w:pPr>
                    <w:pStyle w:val="48"/>
                    <w:keepNext w:val="0"/>
                    <w:keepLines w:val="0"/>
                    <w:suppressLineNumbers w:val="0"/>
                    <w:spacing w:beforeAutospacing="0" w:afterAutospacing="0"/>
                    <w:ind w:left="0" w:right="0"/>
                    <w:jc w:val="center"/>
                    <w:rPr>
                      <w:rFonts w:hint="eastAsia" w:ascii="Times New Roman" w:hAnsi="Arial" w:cs="Arial"/>
                      <w:sz w:val="21"/>
                      <w:szCs w:val="21"/>
                    </w:rPr>
                  </w:pPr>
                </w:p>
              </w:tc>
            </w:tr>
          </w:tbl>
          <w:p>
            <w:pPr>
              <w:keepNext w:val="0"/>
              <w:keepLines w:val="0"/>
              <w:suppressLineNumbers w:val="0"/>
              <w:adjustRightInd w:val="0"/>
              <w:snapToGrid w:val="0"/>
              <w:spacing w:before="0" w:beforeAutospacing="0" w:after="0" w:afterAutospacing="0" w:line="360" w:lineRule="auto"/>
              <w:ind w:left="0" w:right="0"/>
              <w:rPr>
                <w:sz w:val="24"/>
              </w:rPr>
            </w:pPr>
            <w:r>
              <w:rPr>
                <w:b/>
                <w:bCs/>
                <w:sz w:val="24"/>
              </w:rPr>
              <w:t>原辅材料消耗及水平衡</w:t>
            </w:r>
            <w:r>
              <w:rPr>
                <w:sz w:val="24"/>
              </w:rPr>
              <w:t>：</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4"/>
              </w:rPr>
            </w:pPr>
            <w:r>
              <w:rPr>
                <w:bCs/>
                <w:sz w:val="24"/>
                <w:szCs w:val="24"/>
              </w:rPr>
              <w:t>本项目主要原辅料消耗情况见表2-</w:t>
            </w:r>
            <w:r>
              <w:rPr>
                <w:rFonts w:hint="eastAsia"/>
                <w:bCs/>
                <w:sz w:val="24"/>
                <w:szCs w:val="24"/>
              </w:rPr>
              <w:t>2</w:t>
            </w:r>
            <w:r>
              <w:rPr>
                <w:bCs/>
                <w:sz w:val="24"/>
                <w:szCs w:val="24"/>
              </w:rPr>
              <w:t>。</w:t>
            </w:r>
          </w:p>
          <w:p>
            <w:pPr>
              <w:keepNext w:val="0"/>
              <w:keepLines w:val="0"/>
              <w:suppressLineNumbers w:val="0"/>
              <w:spacing w:before="0" w:beforeAutospacing="0" w:after="0" w:afterAutospacing="0"/>
              <w:ind w:left="0" w:right="0"/>
              <w:jc w:val="center"/>
              <w:rPr>
                <w:b/>
                <w:bCs w:val="0"/>
                <w:sz w:val="24"/>
                <w:szCs w:val="24"/>
              </w:rPr>
            </w:pPr>
            <w:r>
              <w:rPr>
                <w:b/>
                <w:bCs w:val="0"/>
                <w:sz w:val="24"/>
                <w:szCs w:val="24"/>
              </w:rPr>
              <w:t>表2-</w:t>
            </w:r>
            <w:r>
              <w:rPr>
                <w:rFonts w:hint="eastAsia"/>
                <w:b/>
                <w:bCs w:val="0"/>
                <w:sz w:val="24"/>
                <w:szCs w:val="24"/>
              </w:rPr>
              <w:t>2主要原辅材料消耗表</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2651"/>
              <w:gridCol w:w="1898"/>
              <w:gridCol w:w="1731"/>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序号</w:t>
                  </w:r>
                </w:p>
              </w:tc>
              <w:tc>
                <w:tcPr>
                  <w:tcW w:w="1438"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名称</w:t>
                  </w:r>
                </w:p>
              </w:tc>
              <w:tc>
                <w:tcPr>
                  <w:tcW w:w="1030"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环评预计用量</w:t>
                  </w:r>
                </w:p>
              </w:tc>
              <w:tc>
                <w:tcPr>
                  <w:tcW w:w="939"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kern w:val="0"/>
                      <w:sz w:val="21"/>
                      <w:szCs w:val="21"/>
                    </w:rPr>
                  </w:pPr>
                  <w:r>
                    <w:rPr>
                      <w:rFonts w:hint="eastAsia" w:cs="Times New Roman"/>
                      <w:b/>
                      <w:bCs/>
                      <w:kern w:val="0"/>
                      <w:sz w:val="21"/>
                      <w:szCs w:val="21"/>
                      <w:lang w:val="en-US" w:eastAsia="zh-CN"/>
                    </w:rPr>
                    <w:t>实际</w:t>
                  </w:r>
                  <w:r>
                    <w:rPr>
                      <w:rFonts w:hint="default" w:ascii="Times New Roman" w:hAnsi="Times New Roman" w:cs="Times New Roman"/>
                      <w:b/>
                      <w:bCs/>
                      <w:kern w:val="0"/>
                      <w:sz w:val="21"/>
                      <w:szCs w:val="21"/>
                    </w:rPr>
                    <w:t>年用量</w:t>
                  </w:r>
                </w:p>
              </w:tc>
              <w:tc>
                <w:tcPr>
                  <w:tcW w:w="1127"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cs="Times New Roman"/>
                      <w:b/>
                      <w:bCs/>
                      <w:kern w:val="0"/>
                      <w:sz w:val="21"/>
                      <w:szCs w:val="21"/>
                      <w:lang w:val="en-US" w:eastAsia="zh-CN"/>
                    </w:rPr>
                  </w:pPr>
                  <w:r>
                    <w:rPr>
                      <w:rFonts w:hint="eastAsia" w:cs="Times New Roman"/>
                      <w:b/>
                      <w:bCs/>
                      <w:kern w:val="0"/>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4" w:type="pct"/>
                  <w:tcBorders>
                    <w:tl2br w:val="nil"/>
                    <w:tr2bl w:val="nil"/>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 w:val="21"/>
                      <w:szCs w:val="21"/>
                    </w:rPr>
                    <w:t>1</w:t>
                  </w:r>
                </w:p>
              </w:tc>
              <w:tc>
                <w:tcPr>
                  <w:tcW w:w="1438" w:type="pct"/>
                  <w:tcBorders>
                    <w:tl2br w:val="nil"/>
                    <w:tr2bl w:val="nil"/>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1"/>
                      <w:szCs w:val="22"/>
                      <w:lang w:val="en-US" w:eastAsia="zh-CN" w:bidi="ar-SA"/>
                    </w:rPr>
                  </w:pPr>
                  <w:r>
                    <w:rPr>
                      <w:rFonts w:hint="eastAsia" w:ascii="Times New Roman" w:hAnsi="Arial" w:cs="Arial"/>
                      <w:szCs w:val="21"/>
                    </w:rPr>
                    <w:t>石材</w:t>
                  </w:r>
                </w:p>
              </w:tc>
              <w:tc>
                <w:tcPr>
                  <w:tcW w:w="1030" w:type="pct"/>
                  <w:tcBorders>
                    <w:tl2br w:val="nil"/>
                    <w:tr2bl w:val="nil"/>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kern w:val="2"/>
                      <w:sz w:val="21"/>
                      <w:szCs w:val="22"/>
                      <w:lang w:val="en-US" w:eastAsia="zh-CN" w:bidi="ar-SA"/>
                    </w:rPr>
                  </w:pPr>
                  <w:r>
                    <w:rPr>
                      <w:rFonts w:hint="eastAsia" w:ascii="Times New Roman" w:cs="Arial"/>
                      <w:szCs w:val="21"/>
                    </w:rPr>
                    <w:t>20000立方</w:t>
                  </w:r>
                </w:p>
              </w:tc>
              <w:tc>
                <w:tcPr>
                  <w:tcW w:w="939" w:type="pct"/>
                  <w:tcBorders>
                    <w:tl2br w:val="nil"/>
                    <w:tr2bl w:val="nil"/>
                  </w:tcBorders>
                  <w:vAlign w:val="center"/>
                </w:tcPr>
                <w:p>
                  <w:pPr>
                    <w:keepNext w:val="0"/>
                    <w:keepLines w:val="0"/>
                    <w:suppressLineNumbers w:val="0"/>
                    <w:spacing w:before="0" w:beforeAutospacing="0" w:after="0" w:afterAutospacing="0"/>
                    <w:ind w:left="0" w:right="0"/>
                    <w:jc w:val="center"/>
                    <w:rPr>
                      <w:rStyle w:val="70"/>
                      <w:rFonts w:hint="default" w:ascii="Times New Roman" w:hAnsi="Times New Roman" w:cs="Times New Roman"/>
                      <w:color w:val="000000" w:themeColor="text1"/>
                      <w:kern w:val="0"/>
                      <w:sz w:val="21"/>
                      <w:szCs w:val="21"/>
                      <w:lang w:val="en-US"/>
                      <w14:textFill>
                        <w14:solidFill>
                          <w14:schemeClr w14:val="tx1"/>
                        </w14:solidFill>
                      </w14:textFill>
                    </w:rPr>
                  </w:pPr>
                  <w:r>
                    <w:rPr>
                      <w:rStyle w:val="70"/>
                      <w:rFonts w:hint="eastAsia" w:cs="Times New Roman"/>
                      <w:color w:val="000000" w:themeColor="text1"/>
                      <w:kern w:val="0"/>
                      <w:sz w:val="21"/>
                      <w:szCs w:val="21"/>
                      <w:lang w:val="en-US"/>
                      <w14:textFill>
                        <w14:solidFill>
                          <w14:schemeClr w14:val="tx1"/>
                        </w14:solidFill>
                      </w14:textFill>
                    </w:rPr>
                    <w:t>18600</w:t>
                  </w:r>
                  <w:r>
                    <w:rPr>
                      <w:rFonts w:hint="eastAsia" w:ascii="Times New Roman" w:cs="Arial"/>
                      <w:szCs w:val="21"/>
                    </w:rPr>
                    <w:t>立方</w:t>
                  </w:r>
                </w:p>
              </w:tc>
              <w:tc>
                <w:tcPr>
                  <w:tcW w:w="1127" w:type="pct"/>
                  <w:tcBorders>
                    <w:tl2br w:val="nil"/>
                    <w:tr2bl w:val="nil"/>
                  </w:tcBorders>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lang w:val="en-US" w:eastAsia="zh-CN"/>
                    </w:rPr>
                  </w:pPr>
                  <w:r>
                    <w:rPr>
                      <w:rFonts w:hint="eastAsia" w:ascii="Times New Roman" w:hAnsi="Times New Roman" w:eastAsia="宋体" w:cs="Times New Roman"/>
                    </w:rPr>
                    <w:t>运至砂库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464"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2</w:t>
                  </w:r>
                </w:p>
              </w:tc>
              <w:tc>
                <w:tcPr>
                  <w:tcW w:w="1438" w:type="pct"/>
                  <w:tcBorders>
                    <w:tl2br w:val="nil"/>
                    <w:tr2bl w:val="nil"/>
                  </w:tcBorders>
                  <w:vAlign w:val="center"/>
                </w:tcPr>
                <w:p>
                  <w:pPr>
                    <w:keepNext w:val="0"/>
                    <w:keepLines w:val="0"/>
                    <w:suppressLineNumbers w:val="0"/>
                    <w:spacing w:before="0" w:beforeAutospacing="0" w:after="0" w:afterAutospacing="0" w:line="360" w:lineRule="auto"/>
                    <w:ind w:left="0" w:right="0"/>
                    <w:jc w:val="center"/>
                    <w:rPr>
                      <w:rFonts w:hint="eastAsia" w:ascii="Times New Roman" w:hAnsi="Arial" w:eastAsia="宋体" w:cs="Arial"/>
                      <w:szCs w:val="21"/>
                      <w:lang w:eastAsia="zh-CN"/>
                    </w:rPr>
                  </w:pPr>
                  <w:r>
                    <w:rPr>
                      <w:rFonts w:hint="eastAsia" w:hAnsi="Arial" w:cs="Arial"/>
                      <w:szCs w:val="21"/>
                      <w:lang w:eastAsia="zh-CN"/>
                    </w:rPr>
                    <w:t>钨钢刀头</w:t>
                  </w:r>
                </w:p>
              </w:tc>
              <w:tc>
                <w:tcPr>
                  <w:tcW w:w="1030" w:type="pct"/>
                  <w:tcBorders>
                    <w:tl2br w:val="nil"/>
                    <w:tr2bl w:val="nil"/>
                  </w:tcBorders>
                  <w:vAlign w:val="center"/>
                </w:tcPr>
                <w:p>
                  <w:pPr>
                    <w:keepNext w:val="0"/>
                    <w:keepLines w:val="0"/>
                    <w:suppressLineNumbers w:val="0"/>
                    <w:spacing w:before="0" w:beforeAutospacing="0" w:after="0" w:afterAutospacing="0" w:line="360" w:lineRule="auto"/>
                    <w:ind w:left="0" w:right="0"/>
                    <w:jc w:val="center"/>
                    <w:rPr>
                      <w:rFonts w:hint="default" w:ascii="Times New Roman" w:eastAsia="宋体" w:cs="Arial"/>
                      <w:szCs w:val="21"/>
                      <w:lang w:val="en-US" w:eastAsia="zh-CN"/>
                    </w:rPr>
                  </w:pPr>
                  <w:r>
                    <w:rPr>
                      <w:rFonts w:hint="eastAsia" w:cs="Arial"/>
                      <w:szCs w:val="21"/>
                      <w:lang w:val="en-US" w:eastAsia="zh-CN"/>
                    </w:rPr>
                    <w:t>300个</w:t>
                  </w:r>
                </w:p>
              </w:tc>
              <w:tc>
                <w:tcPr>
                  <w:tcW w:w="939" w:type="pct"/>
                  <w:tcBorders>
                    <w:tl2br w:val="nil"/>
                    <w:tr2bl w:val="nil"/>
                  </w:tcBorders>
                  <w:vAlign w:val="center"/>
                </w:tcPr>
                <w:p>
                  <w:pPr>
                    <w:keepNext w:val="0"/>
                    <w:keepLines w:val="0"/>
                    <w:suppressLineNumbers w:val="0"/>
                    <w:spacing w:before="0" w:beforeAutospacing="0" w:after="0" w:afterAutospacing="0"/>
                    <w:ind w:left="0" w:right="0"/>
                    <w:jc w:val="center"/>
                    <w:rPr>
                      <w:rStyle w:val="70"/>
                      <w:rFonts w:hint="default" w:cs="Times New Roman"/>
                      <w:color w:val="000000" w:themeColor="text1"/>
                      <w:kern w:val="0"/>
                      <w:sz w:val="21"/>
                      <w:szCs w:val="21"/>
                      <w:lang w:val="en-US"/>
                      <w14:textFill>
                        <w14:solidFill>
                          <w14:schemeClr w14:val="tx1"/>
                        </w14:solidFill>
                      </w14:textFill>
                    </w:rPr>
                  </w:pPr>
                  <w:r>
                    <w:rPr>
                      <w:rStyle w:val="70"/>
                      <w:rFonts w:hint="eastAsia" w:cs="Times New Roman"/>
                      <w:color w:val="000000" w:themeColor="text1"/>
                      <w:kern w:val="0"/>
                      <w:sz w:val="21"/>
                      <w:szCs w:val="21"/>
                      <w:lang w:val="en-US"/>
                      <w14:textFill>
                        <w14:solidFill>
                          <w14:schemeClr w14:val="tx1"/>
                        </w14:solidFill>
                      </w14:textFill>
                    </w:rPr>
                    <w:t>280个</w:t>
                  </w:r>
                </w:p>
              </w:tc>
              <w:tc>
                <w:tcPr>
                  <w:tcW w:w="1127" w:type="pct"/>
                  <w:tcBorders>
                    <w:tl2br w:val="nil"/>
                    <w:tr2bl w:val="nil"/>
                  </w:tcBorders>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cs="Times New Roman"/>
                      <w:lang w:eastAsia="zh-CN"/>
                    </w:rPr>
                  </w:pPr>
                  <w:r>
                    <w:rPr>
                      <w:rFonts w:hint="eastAsia" w:cs="Times New Roman"/>
                      <w:lang w:eastAsia="zh-CN"/>
                    </w:rPr>
                    <w:t>切割使用</w:t>
                  </w:r>
                </w:p>
              </w:tc>
            </w:tr>
          </w:tbl>
          <w:p>
            <w:pPr>
              <w:keepNext w:val="0"/>
              <w:keepLines w:val="0"/>
              <w:suppressLineNumbers w:val="0"/>
              <w:adjustRightInd w:val="0"/>
              <w:snapToGrid w:val="0"/>
              <w:spacing w:before="0" w:beforeAutospacing="0" w:after="0" w:afterAutospacing="0" w:line="360" w:lineRule="auto"/>
              <w:ind w:left="0" w:right="0"/>
              <w:rPr>
                <w:sz w:val="24"/>
                <w:szCs w:val="24"/>
              </w:rPr>
            </w:pPr>
          </w:p>
        </w:tc>
      </w:tr>
    </w:tbl>
    <w:p>
      <w:pPr>
        <w:pStyle w:val="3"/>
        <w:jc w:val="both"/>
        <w:rPr>
          <w:rFonts w:ascii="Times New Roman" w:hAnsi="Times New Roman"/>
          <w:szCs w:val="24"/>
        </w:rPr>
      </w:pPr>
      <w:r>
        <w:rPr>
          <w:rFonts w:hint="eastAsia" w:ascii="Times New Roman" w:hAnsi="Times New Roman"/>
          <w:szCs w:val="24"/>
          <w:lang w:val="en-US" w:eastAsia="zh-CN"/>
        </w:rPr>
        <w:t>续</w:t>
      </w:r>
      <w:r>
        <w:rPr>
          <w:rFonts w:ascii="Times New Roman" w:hAnsi="Times New Roman"/>
          <w:szCs w:val="24"/>
        </w:rPr>
        <w:t xml:space="preserve">表二 </w:t>
      </w:r>
    </w:p>
    <w:tbl>
      <w:tblPr>
        <w:tblStyle w:val="20"/>
        <w:tblW w:w="9516"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9516"/>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PrEx>
        <w:trPr>
          <w:trHeight w:val="13887" w:hRule="atLeast"/>
          <w:jc w:val="center"/>
        </w:trPr>
        <w:tc>
          <w:tcPr>
            <w:tcW w:w="9516" w:type="dxa"/>
            <w:tcBorders>
              <w:tl2br w:val="nil"/>
              <w:tr2bl w:val="nil"/>
            </w:tcBorders>
            <w:vAlign w:val="top"/>
          </w:tcPr>
          <w:p>
            <w:pPr>
              <w:keepNext w:val="0"/>
              <w:keepLines w:val="0"/>
              <w:suppressLineNumbers w:val="0"/>
              <w:spacing w:before="0" w:beforeAutospacing="0" w:after="0" w:afterAutospacing="0" w:line="360" w:lineRule="auto"/>
              <w:ind w:left="0" w:right="0" w:firstLine="480"/>
              <w:rPr>
                <w:sz w:val="24"/>
                <w:szCs w:val="24"/>
              </w:rPr>
            </w:pPr>
            <w:r>
              <w:rPr>
                <w:sz w:val="24"/>
                <w:szCs w:val="24"/>
              </w:rPr>
              <w:t>项目用水</w:t>
            </w:r>
            <w:r>
              <w:rPr>
                <w:rFonts w:hint="eastAsia"/>
                <w:sz w:val="24"/>
                <w:szCs w:val="24"/>
              </w:rPr>
              <w:t>主要为生活用水</w:t>
            </w:r>
            <w:r>
              <w:rPr>
                <w:rFonts w:hint="eastAsia"/>
                <w:sz w:val="24"/>
                <w:szCs w:val="24"/>
                <w:lang w:val="en-US" w:eastAsia="zh-CN"/>
              </w:rPr>
              <w:t>和场地、车辆冲洗用水</w:t>
            </w:r>
            <w:r>
              <w:rPr>
                <w:sz w:val="24"/>
                <w:szCs w:val="24"/>
              </w:rPr>
              <w:t>，项目水量平衡图见图2-1。</w:t>
            </w:r>
          </w:p>
          <w:tbl>
            <w:tblPr>
              <w:tblStyle w:val="21"/>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7" w:hRule="atLeast"/>
              </w:trPr>
              <w:tc>
                <w:tcPr>
                  <w:tcW w:w="9072" w:type="dxa"/>
                  <w:tcBorders>
                    <w:tl2br w:val="nil"/>
                    <w:tr2bl w:val="nil"/>
                  </w:tcBorders>
                  <w:noWrap w:val="0"/>
                  <w:vAlign w:val="top"/>
                </w:tcPr>
                <w:p>
                  <w:pPr>
                    <w:pStyle w:val="67"/>
                    <w:keepNext w:val="0"/>
                    <w:keepLines w:val="0"/>
                    <w:suppressLineNumbers w:val="0"/>
                    <w:spacing w:before="0" w:beforeAutospacing="0" w:after="0" w:afterAutospacing="0"/>
                    <w:ind w:left="0" w:right="0"/>
                    <w:jc w:val="center"/>
                    <w:rPr>
                      <w:rFonts w:hint="default"/>
                    </w:rPr>
                  </w:pPr>
                  <w:r>
                    <w:rPr>
                      <w:rFonts w:hint="default"/>
                    </w:rPr>
                    <mc:AlternateContent>
                      <mc:Choice Requires="wps">
                        <w:drawing>
                          <wp:anchor distT="0" distB="0" distL="114300" distR="114300" simplePos="0" relativeHeight="251663360" behindDoc="1" locked="0" layoutInCell="1" allowOverlap="1">
                            <wp:simplePos x="0" y="0"/>
                            <wp:positionH relativeFrom="column">
                              <wp:posOffset>944245</wp:posOffset>
                            </wp:positionH>
                            <wp:positionV relativeFrom="paragraph">
                              <wp:posOffset>949325</wp:posOffset>
                            </wp:positionV>
                            <wp:extent cx="1089660" cy="487045"/>
                            <wp:effectExtent l="4445" t="5080" r="10795" b="15875"/>
                            <wp:wrapNone/>
                            <wp:docPr id="37" name="矩形 37"/>
                            <wp:cNvGraphicFramePr/>
                            <a:graphic xmlns:a="http://schemas.openxmlformats.org/drawingml/2006/main">
                              <a:graphicData uri="http://schemas.microsoft.com/office/word/2010/wordprocessingShape">
                                <wps:wsp>
                                  <wps:cNvSpPr/>
                                  <wps:spPr>
                                    <a:xfrm>
                                      <a:off x="0" y="0"/>
                                      <a:ext cx="1089660" cy="4870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lang w:val="en-US" w:eastAsia="zh-CN"/>
                                          </w:rPr>
                                        </w:pPr>
                                        <w:r>
                                          <w:rPr>
                                            <w:rFonts w:hint="eastAsia"/>
                                            <w:lang w:val="en-US" w:eastAsia="zh-CN"/>
                                          </w:rPr>
                                          <w:t>设备冷却用水、车辆冲洗用水</w:t>
                                        </w:r>
                                      </w:p>
                                    </w:txbxContent>
                                  </wps:txbx>
                                  <wps:bodyPr upright="1"/>
                                </wps:wsp>
                              </a:graphicData>
                            </a:graphic>
                          </wp:anchor>
                        </w:drawing>
                      </mc:Choice>
                      <mc:Fallback>
                        <w:pict>
                          <v:rect id="_x0000_s1026" o:spid="_x0000_s1026" o:spt="1" style="position:absolute;left:0pt;margin-left:74.35pt;margin-top:74.75pt;height:38.35pt;width:85.8pt;z-index:-251653120;mso-width-relative:page;mso-height-relative:page;" fillcolor="#FFFFFF" filled="t" stroked="t" coordsize="21600,21600" o:gfxdata="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Por5c2AAAAAsBAAAPAAAAAAAAAAEAIAAAACIAAABkcnMv&#10;ZG93bnJldi54bWxQSwECFAAUAAAACACHTuJAClTqdQMCAAArBAAADgAAAAAAAAABACAAAAAnAQAA&#10;ZHJzL2Uyb0RvYy54bWxQSwUGAAAAAAYABgBZAQAAnAUAAAAA&#10;">
                            <v:fill on="t" focussize="0,0"/>
                            <v:stroke color="#000000" joinstyle="miter"/>
                            <v:imagedata o:title=""/>
                            <o:lock v:ext="edit" aspectratio="f"/>
                            <v:textbox>
                              <w:txbxContent>
                                <w:p>
                                  <w:pPr>
                                    <w:rPr>
                                      <w:rFonts w:hint="default"/>
                                      <w:lang w:val="en-US" w:eastAsia="zh-CN"/>
                                    </w:rPr>
                                  </w:pPr>
                                  <w:r>
                                    <w:rPr>
                                      <w:rFonts w:hint="eastAsia"/>
                                      <w:lang w:val="en-US" w:eastAsia="zh-CN"/>
                                    </w:rPr>
                                    <w:t>设备冷却用水、车辆冲洗用水</w:t>
                                  </w:r>
                                </w:p>
                              </w:txbxContent>
                            </v:textbox>
                          </v:rect>
                        </w:pict>
                      </mc:Fallback>
                    </mc:AlternateContent>
                  </w:r>
                  <w:r>
                    <w:rPr>
                      <w:rFonts w:hint="default"/>
                    </w:rPr>
                    <mc:AlternateContent>
                      <mc:Choice Requires="wps">
                        <w:drawing>
                          <wp:anchor distT="0" distB="0" distL="114300" distR="114300" simplePos="0" relativeHeight="251677696" behindDoc="0" locked="0" layoutInCell="1" allowOverlap="1">
                            <wp:simplePos x="0" y="0"/>
                            <wp:positionH relativeFrom="column">
                              <wp:posOffset>3800475</wp:posOffset>
                            </wp:positionH>
                            <wp:positionV relativeFrom="paragraph">
                              <wp:posOffset>227330</wp:posOffset>
                            </wp:positionV>
                            <wp:extent cx="1156970" cy="50101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56970" cy="501015"/>
                                    </a:xfrm>
                                    <a:prstGeom prst="rect">
                                      <a:avLst/>
                                    </a:prstGeom>
                                    <a:noFill/>
                                    <a:ln>
                                      <a:noFill/>
                                    </a:ln>
                                  </wps:spPr>
                                  <wps:txbx>
                                    <w:txbxContent>
                                      <w:p>
                                        <w:pPr>
                                          <w:jc w:val="center"/>
                                          <w:rPr>
                                            <w:rFonts w:hint="default"/>
                                            <w:sz w:val="21"/>
                                            <w:szCs w:val="21"/>
                                            <w:lang w:val="en-US" w:eastAsia="zh-CN"/>
                                          </w:rPr>
                                        </w:pPr>
                                        <w:r>
                                          <w:rPr>
                                            <w:rFonts w:ascii="宋体" w:hAnsi="宋体" w:eastAsia="宋体" w:cs="宋体"/>
                                            <w:sz w:val="21"/>
                                            <w:szCs w:val="21"/>
                                          </w:rPr>
                                          <w:t>回用于公司矿区生态修复工程</w:t>
                                        </w:r>
                                      </w:p>
                                    </w:txbxContent>
                                  </wps:txbx>
                                  <wps:bodyPr upright="1"/>
                                </wps:wsp>
                              </a:graphicData>
                            </a:graphic>
                          </wp:anchor>
                        </w:drawing>
                      </mc:Choice>
                      <mc:Fallback>
                        <w:pict>
                          <v:shape id="_x0000_s1026" o:spid="_x0000_s1026" o:spt="202" type="#_x0000_t202" style="position:absolute;left:0pt;margin-left:299.25pt;margin-top:17.9pt;height:39.45pt;width:91.1pt;z-index:251677696;mso-width-relative:page;mso-height-relative:page;" filled="f" stroked="f" coordsize="21600,21600" o:gfxdata="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0gUbUNcAAAAK&#10;AQAADwAAAAAAAAABACAAAAAiAAAAZHJzL2Rvd25yZXYueG1sUEsBAhQAFAAAAAgAh07iQPON8KGr&#10;AQAATgMAAA4AAAAAAAAAAQAgAAAAJgEAAGRycy9lMm9Eb2MueG1sUEsFBgAAAAAGAAYAWQEAAEMF&#10;AAAAAA==&#10;">
                            <v:fill on="f" focussize="0,0"/>
                            <v:stroke on="f"/>
                            <v:imagedata o:title=""/>
                            <o:lock v:ext="edit" aspectratio="f"/>
                            <v:textbox>
                              <w:txbxContent>
                                <w:p>
                                  <w:pPr>
                                    <w:jc w:val="center"/>
                                    <w:rPr>
                                      <w:rFonts w:hint="default"/>
                                      <w:sz w:val="21"/>
                                      <w:szCs w:val="21"/>
                                      <w:lang w:val="en-US" w:eastAsia="zh-CN"/>
                                    </w:rPr>
                                  </w:pPr>
                                  <w:r>
                                    <w:rPr>
                                      <w:rFonts w:ascii="宋体" w:hAnsi="宋体" w:eastAsia="宋体" w:cs="宋体"/>
                                      <w:sz w:val="21"/>
                                      <w:szCs w:val="21"/>
                                    </w:rPr>
                                    <w:t>回用于公司矿区生态修复工程</w:t>
                                  </w:r>
                                </w:p>
                              </w:txbxContent>
                            </v:textbox>
                          </v:shape>
                        </w:pict>
                      </mc:Fallback>
                    </mc:AlternateContent>
                  </w:r>
                  <w:r>
                    <w:rPr>
                      <w:rFonts w:hint="default"/>
                    </w:rPr>
                    <mc:AlternateContent>
                      <mc:Choice Requires="wps">
                        <w:drawing>
                          <wp:anchor distT="0" distB="0" distL="114300" distR="114300" simplePos="0" relativeHeight="251675648" behindDoc="0" locked="0" layoutInCell="1" allowOverlap="1">
                            <wp:simplePos x="0" y="0"/>
                            <wp:positionH relativeFrom="column">
                              <wp:posOffset>3365500</wp:posOffset>
                            </wp:positionH>
                            <wp:positionV relativeFrom="paragraph">
                              <wp:posOffset>227965</wp:posOffset>
                            </wp:positionV>
                            <wp:extent cx="685800" cy="24765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685800" cy="247650"/>
                                    </a:xfrm>
                                    <a:prstGeom prst="rect">
                                      <a:avLst/>
                                    </a:prstGeom>
                                    <a:noFill/>
                                    <a:ln>
                                      <a:noFill/>
                                    </a:ln>
                                  </wps:spPr>
                                  <wps:txb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200</w:t>
                                        </w:r>
                                      </w:p>
                                    </w:txbxContent>
                                  </wps:txbx>
                                  <wps:bodyPr upright="1"/>
                                </wps:wsp>
                              </a:graphicData>
                            </a:graphic>
                          </wp:anchor>
                        </w:drawing>
                      </mc:Choice>
                      <mc:Fallback>
                        <w:pict>
                          <v:shape id="_x0000_s1026" o:spid="_x0000_s1026" o:spt="202" type="#_x0000_t202" style="position:absolute;left:0pt;margin-left:265pt;margin-top:17.95pt;height:19.5pt;width:54pt;z-index:251675648;mso-width-relative:page;mso-height-relative:page;" filled="f" stroked="f" coordsize="21600,21600" o:gfxdata="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QyeqdcA&#10;AAAJAQAADwAAAAAAAAABACAAAAAiAAAAZHJzL2Rvd25yZXYueG1sUEsBAhQAFAAAAAgAh07iQOdS&#10;XSGuAQAATwMAAA4AAAAAAAAAAQAgAAAAJgEAAGRycy9lMm9Eb2MueG1sUEsFBgAAAAAGAAYAWQEA&#10;AEYFAAAAAA==&#10;">
                            <v:fill on="f" focussize="0,0"/>
                            <v:stroke on="f"/>
                            <v:imagedata o:title=""/>
                            <o:lock v:ext="edit" aspectratio="f"/>
                            <v:textbo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200</w:t>
                                  </w:r>
                                </w:p>
                              </w:txbxContent>
                            </v:textbox>
                          </v:shape>
                        </w:pict>
                      </mc:Fallback>
                    </mc:AlternateContent>
                  </w:r>
                  <w:r>
                    <w:rPr>
                      <w:rFonts w:hint="default"/>
                    </w:rPr>
                    <mc:AlternateContent>
                      <mc:Choice Requires="wps">
                        <w:drawing>
                          <wp:anchor distT="0" distB="0" distL="114300" distR="114300" simplePos="0" relativeHeight="251668480" behindDoc="0" locked="0" layoutInCell="1" allowOverlap="1">
                            <wp:simplePos x="0" y="0"/>
                            <wp:positionH relativeFrom="column">
                              <wp:posOffset>3347720</wp:posOffset>
                            </wp:positionH>
                            <wp:positionV relativeFrom="paragraph">
                              <wp:posOffset>465455</wp:posOffset>
                            </wp:positionV>
                            <wp:extent cx="478790" cy="5715"/>
                            <wp:effectExtent l="0" t="37465" r="3810" b="33020"/>
                            <wp:wrapNone/>
                            <wp:docPr id="39" name="直接连接符 39"/>
                            <wp:cNvGraphicFramePr/>
                            <a:graphic xmlns:a="http://schemas.openxmlformats.org/drawingml/2006/main">
                              <a:graphicData uri="http://schemas.microsoft.com/office/word/2010/wordprocessingShape">
                                <wps:wsp>
                                  <wps:cNvCnPr/>
                                  <wps:spPr>
                                    <a:xfrm flipV="1">
                                      <a:off x="0" y="0"/>
                                      <a:ext cx="478790" cy="5715"/>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63.6pt;margin-top:36.65pt;height:0.45pt;width:37.7pt;z-index:251668480;mso-width-relative:page;mso-height-relative:page;" filled="f" stroked="t" coordsize="21600,21600" o:gfxdata="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guCztkAAAAJAQAADwAAAAAAAAABACAAAAAiAAAA&#10;ZHJzL2Rvd25yZXYueG1sUEsBAhQAFAAAAAgAh07iQMdGJOcGAgAA9gMAAA4AAAAAAAAAAQAgAAAA&#10;KAEAAGRycy9lMm9Eb2MueG1sUEsFBgAAAAAGAAYAWQEAAKAFAAAAAA==&#10;">
                            <v:fill on="f" focussize="0,0"/>
                            <v:stroke weight="0.5pt" color="#000000" joinstyle="round" endarrow="block"/>
                            <v:imagedata o:title=""/>
                            <o:lock v:ext="edit" aspectratio="f"/>
                          </v:line>
                        </w:pict>
                      </mc:Fallback>
                    </mc:AlternateContent>
                  </w:r>
                  <w:r>
                    <w:rPr>
                      <w:rFonts w:hint="default"/>
                    </w:rPr>
                    <mc:AlternateContent>
                      <mc:Choice Requires="wps">
                        <w:drawing>
                          <wp:anchor distT="0" distB="0" distL="114300" distR="114300" simplePos="0" relativeHeight="251660288" behindDoc="1" locked="0" layoutInCell="1" allowOverlap="1">
                            <wp:simplePos x="0" y="0"/>
                            <wp:positionH relativeFrom="column">
                              <wp:posOffset>2022475</wp:posOffset>
                            </wp:positionH>
                            <wp:positionV relativeFrom="paragraph">
                              <wp:posOffset>332740</wp:posOffset>
                            </wp:positionV>
                            <wp:extent cx="1322070" cy="289560"/>
                            <wp:effectExtent l="6350" t="6350" r="17780" b="8890"/>
                            <wp:wrapNone/>
                            <wp:docPr id="30" name="矩形 30"/>
                            <wp:cNvGraphicFramePr/>
                            <a:graphic xmlns:a="http://schemas.openxmlformats.org/drawingml/2006/main">
                              <a:graphicData uri="http://schemas.microsoft.com/office/word/2010/wordprocessingShape">
                                <wps:wsp>
                                  <wps:cNvSpPr/>
                                  <wps:spPr>
                                    <a:xfrm>
                                      <a:off x="0" y="0"/>
                                      <a:ext cx="1322070" cy="28956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jc w:val="both"/>
                                          <w:rPr>
                                            <w:rFonts w:hint="eastAsia" w:ascii="宋体" w:hAnsi="宋体" w:eastAsia="宋体" w:cs="宋体"/>
                                            <w:sz w:val="21"/>
                                            <w:szCs w:val="21"/>
                                            <w:lang w:eastAsia="zh-CN"/>
                                          </w:rPr>
                                        </w:pPr>
                                        <w:r>
                                          <w:rPr>
                                            <w:rFonts w:ascii="宋体" w:hAnsi="宋体" w:eastAsia="宋体" w:cs="宋体"/>
                                            <w:sz w:val="21"/>
                                            <w:szCs w:val="21"/>
                                          </w:rPr>
                                          <w:t>化粪池厌氧预处理</w:t>
                                        </w:r>
                                      </w:p>
                                    </w:txbxContent>
                                  </wps:txbx>
                                  <wps:bodyPr upright="1"/>
                                </wps:wsp>
                              </a:graphicData>
                            </a:graphic>
                          </wp:anchor>
                        </w:drawing>
                      </mc:Choice>
                      <mc:Fallback>
                        <w:pict>
                          <v:rect id="_x0000_s1026" o:spid="_x0000_s1026" o:spt="1" style="position:absolute;left:0pt;margin-left:159.25pt;margin-top:26.2pt;height:22.8pt;width:104.1pt;z-index:-251656192;mso-width-relative:page;mso-height-relative:page;" fillcolor="#FFFFFF [3201]" filled="t" stroked="t" coordsize="21600,21600" o:gfxdata="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2ydQTcAAAACQEAAA8AAAAA&#10;AAAAAQAgAAAAIgAAAGRycy9kb3ducmV2LnhtbFBLAQIUABQAAAAIAIdO4kDCh2X0EAIAAEQEAAAO&#10;AAAAAAAAAAEAIAAAACsBAABkcnMvZTJvRG9jLnhtbFBLBQYAAAAABgAGAFkBAACtBQAAAAA=&#10;">
                            <v:fill on="t" focussize="0,0"/>
                            <v:stroke weight="1pt" color="#000000 [3200]" miterlimit="8" joinstyle="miter"/>
                            <v:imagedata o:title=""/>
                            <o:lock v:ext="edit" aspectratio="f"/>
                            <v:textbox>
                              <w:txbxContent>
                                <w:p>
                                  <w:pPr>
                                    <w:jc w:val="both"/>
                                    <w:rPr>
                                      <w:rFonts w:hint="eastAsia" w:ascii="宋体" w:hAnsi="宋体" w:eastAsia="宋体" w:cs="宋体"/>
                                      <w:sz w:val="21"/>
                                      <w:szCs w:val="21"/>
                                      <w:lang w:eastAsia="zh-CN"/>
                                    </w:rPr>
                                  </w:pPr>
                                  <w:r>
                                    <w:rPr>
                                      <w:rFonts w:ascii="宋体" w:hAnsi="宋体" w:eastAsia="宋体" w:cs="宋体"/>
                                      <w:sz w:val="21"/>
                                      <w:szCs w:val="21"/>
                                    </w:rPr>
                                    <w:t>化粪池厌氧预处理</w:t>
                                  </w:r>
                                </w:p>
                              </w:txbxContent>
                            </v:textbox>
                          </v:rect>
                        </w:pict>
                      </mc:Fallback>
                    </mc:AlternateContent>
                  </w:r>
                  <w:r>
                    <w:rPr>
                      <w:rFonts w:hint="default"/>
                    </w:rPr>
                    <mc:AlternateContent>
                      <mc:Choice Requires="wps">
                        <w:drawing>
                          <wp:anchor distT="0" distB="0" distL="114300" distR="114300" simplePos="0" relativeHeight="251676672" behindDoc="0" locked="0" layoutInCell="1" allowOverlap="1">
                            <wp:simplePos x="0" y="0"/>
                            <wp:positionH relativeFrom="column">
                              <wp:posOffset>4005580</wp:posOffset>
                            </wp:positionH>
                            <wp:positionV relativeFrom="paragraph">
                              <wp:posOffset>959485</wp:posOffset>
                            </wp:positionV>
                            <wp:extent cx="685800" cy="24765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685800" cy="247650"/>
                                    </a:xfrm>
                                    <a:prstGeom prst="rect">
                                      <a:avLst/>
                                    </a:prstGeom>
                                    <a:noFill/>
                                    <a:ln>
                                      <a:noFill/>
                                    </a:ln>
                                  </wps:spPr>
                                  <wps:txb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1920</w:t>
                                        </w:r>
                                      </w:p>
                                    </w:txbxContent>
                                  </wps:txbx>
                                  <wps:bodyPr upright="1"/>
                                </wps:wsp>
                              </a:graphicData>
                            </a:graphic>
                          </wp:anchor>
                        </w:drawing>
                      </mc:Choice>
                      <mc:Fallback>
                        <w:pict>
                          <v:shape id="_x0000_s1026" o:spid="_x0000_s1026" o:spt="202" type="#_x0000_t202" style="position:absolute;left:0pt;margin-left:315.4pt;margin-top:75.55pt;height:19.5pt;width:54pt;z-index:251676672;mso-width-relative:page;mso-height-relative:page;" filled="f" stroked="f" coordsize="21600,21600" o:gfxdata="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3COFNcA&#10;AAALAQAADwAAAAAAAAABACAAAAAiAAAAZHJzL2Rvd25yZXYueG1sUEsBAhQAFAAAAAgAh07iQP15&#10;AUuuAQAATwMAAA4AAAAAAAAAAQAgAAAAJgEAAGRycy9lMm9Eb2MueG1sUEsFBgAAAAAGAAYAWQEA&#10;AEYFAAAAAA==&#10;">
                            <v:fill on="f" focussize="0,0"/>
                            <v:stroke on="f"/>
                            <v:imagedata o:title=""/>
                            <o:lock v:ext="edit" aspectratio="f"/>
                            <v:textbo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1920</w:t>
                                  </w:r>
                                </w:p>
                              </w:txbxContent>
                            </v:textbox>
                          </v:shape>
                        </w:pict>
                      </mc:Fallback>
                    </mc:AlternateContent>
                  </w:r>
                  <w:r>
                    <w:rPr>
                      <w:rFonts w:hint="default"/>
                    </w:rPr>
                    <mc:AlternateContent>
                      <mc:Choice Requires="wps">
                        <w:drawing>
                          <wp:anchor distT="0" distB="0" distL="114300" distR="114300" simplePos="0" relativeHeight="251674624" behindDoc="0" locked="0" layoutInCell="1" allowOverlap="1">
                            <wp:simplePos x="0" y="0"/>
                            <wp:positionH relativeFrom="column">
                              <wp:posOffset>4457700</wp:posOffset>
                            </wp:positionH>
                            <wp:positionV relativeFrom="paragraph">
                              <wp:posOffset>868680</wp:posOffset>
                            </wp:positionV>
                            <wp:extent cx="1069340" cy="66675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069340" cy="666750"/>
                                    </a:xfrm>
                                    <a:prstGeom prst="rect">
                                      <a:avLst/>
                                    </a:prstGeom>
                                    <a:noFill/>
                                    <a:ln>
                                      <a:noFill/>
                                    </a:ln>
                                  </wps:spPr>
                                  <wps:txbx>
                                    <w:txbxContent>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lang w:val="en-US" w:eastAsia="zh-CN"/>
                                          </w:rPr>
                                          <w:t>回用于</w:t>
                                        </w:r>
                                        <w:r>
                                          <w:rPr>
                                            <w:rFonts w:ascii="宋体" w:hAnsi="宋体" w:eastAsia="宋体" w:cs="宋体"/>
                                            <w:sz w:val="21"/>
                                            <w:szCs w:val="21"/>
                                          </w:rPr>
                                          <w:t>切割、打磨、整修湿法除尘工艺</w:t>
                                        </w:r>
                                      </w:p>
                                    </w:txbxContent>
                                  </wps:txbx>
                                  <wps:bodyPr upright="1"/>
                                </wps:wsp>
                              </a:graphicData>
                            </a:graphic>
                          </wp:anchor>
                        </w:drawing>
                      </mc:Choice>
                      <mc:Fallback>
                        <w:pict>
                          <v:shape id="_x0000_s1026" o:spid="_x0000_s1026" o:spt="202" type="#_x0000_t202" style="position:absolute;left:0pt;margin-left:351pt;margin-top:68.4pt;height:52.5pt;width:84.2pt;z-index:251674624;mso-width-relative:page;mso-height-relative:page;" filled="f" stroked="f" coordsize="21600,21600" o:gfxdata="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fYM1DY&#10;AAAACwEAAA8AAAAAAAAAAQAgAAAAIgAAAGRycy9kb3ducmV2LnhtbFBLAQIUABQAAAAIAIdO4kBm&#10;i4bXrgEAAFADAAAOAAAAAAAAAAEAIAAAACcBAABkcnMvZTJvRG9jLnhtbFBLBQYAAAAABgAGAFkB&#10;AABHBQAAAAA=&#10;">
                            <v:fill on="f" focussize="0,0"/>
                            <v:stroke on="f"/>
                            <v:imagedata o:title=""/>
                            <o:lock v:ext="edit" aspectratio="f"/>
                            <v:textbox>
                              <w:txbxContent>
                                <w:p>
                                  <w:pPr>
                                    <w:jc w:val="center"/>
                                    <w:rPr>
                                      <w:rFonts w:hint="default" w:ascii="Times New Roman" w:hAnsi="Times New Roman" w:eastAsia="宋体" w:cs="Times New Roman"/>
                                      <w:sz w:val="21"/>
                                      <w:szCs w:val="21"/>
                                      <w:highlight w:val="none"/>
                                      <w:lang w:val="en-US" w:eastAsia="zh-CN"/>
                                    </w:rPr>
                                  </w:pPr>
                                  <w:r>
                                    <w:rPr>
                                      <w:rFonts w:hint="eastAsia" w:cs="Times New Roman"/>
                                      <w:sz w:val="21"/>
                                      <w:szCs w:val="21"/>
                                      <w:lang w:val="en-US" w:eastAsia="zh-CN"/>
                                    </w:rPr>
                                    <w:t>回用于</w:t>
                                  </w:r>
                                  <w:r>
                                    <w:rPr>
                                      <w:rFonts w:ascii="宋体" w:hAnsi="宋体" w:eastAsia="宋体" w:cs="宋体"/>
                                      <w:sz w:val="21"/>
                                      <w:szCs w:val="21"/>
                                    </w:rPr>
                                    <w:t>切割、打磨、整修湿法除尘工艺</w:t>
                                  </w:r>
                                </w:p>
                              </w:txbxContent>
                            </v:textbox>
                          </v:shape>
                        </w:pict>
                      </mc:Fallback>
                    </mc:AlternateContent>
                  </w:r>
                  <w:r>
                    <w:rPr>
                      <w:rFonts w:hint="default"/>
                    </w:rPr>
                    <mc:AlternateContent>
                      <mc:Choice Requires="wps">
                        <w:drawing>
                          <wp:anchor distT="0" distB="0" distL="114300" distR="114300" simplePos="0" relativeHeight="251673600" behindDoc="0" locked="0" layoutInCell="1" allowOverlap="1">
                            <wp:simplePos x="0" y="0"/>
                            <wp:positionH relativeFrom="column">
                              <wp:posOffset>4040505</wp:posOffset>
                            </wp:positionH>
                            <wp:positionV relativeFrom="paragraph">
                              <wp:posOffset>1181735</wp:posOffset>
                            </wp:positionV>
                            <wp:extent cx="447040" cy="1905"/>
                            <wp:effectExtent l="0" t="36830" r="10160" b="37465"/>
                            <wp:wrapNone/>
                            <wp:docPr id="50" name="直接连接符 50"/>
                            <wp:cNvGraphicFramePr/>
                            <a:graphic xmlns:a="http://schemas.openxmlformats.org/drawingml/2006/main">
                              <a:graphicData uri="http://schemas.microsoft.com/office/word/2010/wordprocessingShape">
                                <wps:wsp>
                                  <wps:cNvCnPr/>
                                  <wps:spPr>
                                    <a:xfrm>
                                      <a:off x="0" y="0"/>
                                      <a:ext cx="447040" cy="1905"/>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18.15pt;margin-top:93.05pt;height:0.15pt;width:35.2pt;z-index:251673600;mso-width-relative:page;mso-height-relative:page;" filled="f" stroked="t" coordsize="21600,21600" o:gfxdata="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52rM2AAAAAsBAAAPAAAAAAAAAAEAIAAAACIAAABkcnMvZG93bnJl&#10;di54bWxQSwECFAAUAAAACACHTuJAgwwlJf0BAADsAwAADgAAAAAAAAABACAAAAAnAQAAZHJzL2Uy&#10;b0RvYy54bWxQSwUGAAAAAAYABgBZAQAAlgUAAAAA&#10;">
                            <v:fill on="f" focussize="0,0"/>
                            <v:stroke weight="0.5pt" color="#000000" joinstyle="round" endarrow="block"/>
                            <v:imagedata o:title=""/>
                            <o:lock v:ext="edit" aspectratio="f"/>
                          </v:line>
                        </w:pict>
                      </mc:Fallback>
                    </mc:AlternateContent>
                  </w:r>
                  <w:r>
                    <w:rPr>
                      <w:rFonts w:hint="default"/>
                    </w:rPr>
                    <mc:AlternateContent>
                      <mc:Choice Requires="wps">
                        <w:drawing>
                          <wp:anchor distT="0" distB="0" distL="114300" distR="114300" simplePos="0" relativeHeight="251664384" behindDoc="1" locked="0" layoutInCell="1" allowOverlap="1">
                            <wp:simplePos x="0" y="0"/>
                            <wp:positionH relativeFrom="column">
                              <wp:posOffset>2476500</wp:posOffset>
                            </wp:positionH>
                            <wp:positionV relativeFrom="paragraph">
                              <wp:posOffset>1040765</wp:posOffset>
                            </wp:positionV>
                            <wp:extent cx="1553845" cy="289560"/>
                            <wp:effectExtent l="4445" t="4445" r="16510" b="10795"/>
                            <wp:wrapNone/>
                            <wp:docPr id="40" name="矩形 40"/>
                            <wp:cNvGraphicFramePr/>
                            <a:graphic xmlns:a="http://schemas.openxmlformats.org/drawingml/2006/main">
                              <a:graphicData uri="http://schemas.microsoft.com/office/word/2010/wordprocessingShape">
                                <wps:wsp>
                                  <wps:cNvSpPr/>
                                  <wps:spPr>
                                    <a:xfrm>
                                      <a:off x="0" y="0"/>
                                      <a:ext cx="1553845" cy="289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lang w:eastAsia="zh-CN"/>
                                          </w:rPr>
                                        </w:pPr>
                                        <w:r>
                                          <w:rPr>
                                            <w:rFonts w:hint="eastAsia" w:hAnsi="Arial" w:cs="Arial"/>
                                            <w:lang w:val="en-US" w:eastAsia="zh-CN"/>
                                          </w:rPr>
                                          <w:t>三级</w:t>
                                        </w:r>
                                        <w:r>
                                          <w:rPr>
                                            <w:rFonts w:hint="eastAsia" w:ascii="Times New Roman" w:hAnsi="Arial" w:cs="Arial"/>
                                          </w:rPr>
                                          <w:t>沉淀、过滤处理后</w:t>
                                        </w:r>
                                      </w:p>
                                    </w:txbxContent>
                                  </wps:txbx>
                                  <wps:bodyPr upright="1"/>
                                </wps:wsp>
                              </a:graphicData>
                            </a:graphic>
                          </wp:anchor>
                        </w:drawing>
                      </mc:Choice>
                      <mc:Fallback>
                        <w:pict>
                          <v:rect id="_x0000_s1026" o:spid="_x0000_s1026" o:spt="1" style="position:absolute;left:0pt;margin-left:195pt;margin-top:81.95pt;height:22.8pt;width:122.35pt;z-index:-251652096;mso-width-relative:page;mso-height-relative:page;" fillcolor="#FFFFFF" filled="t" stroked="t" coordsize="21600,21600" o:gfxdata="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&#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YefLv2QAAAAsBAAAPAAAAAAAAAAEAIAAAACIAAABk&#10;cnMvZG93bnJldi54bWxQSwECFAAUAAAACACHTuJANLqLbwUCAAArBAAADgAAAAAAAAABACAAAAAo&#10;AQAAZHJzL2Uyb0RvYy54bWxQSwUGAAAAAAYABgBZAQAAnwUAAAAA&#10;">
                            <v:fill on="t" focussize="0,0"/>
                            <v:stroke color="#000000" joinstyle="miter"/>
                            <v:imagedata o:title=""/>
                            <o:lock v:ext="edit" aspectratio="f"/>
                            <v:textbox>
                              <w:txbxContent>
                                <w:p>
                                  <w:pPr>
                                    <w:jc w:val="center"/>
                                    <w:rPr>
                                      <w:rFonts w:hint="eastAsia" w:ascii="宋体" w:hAnsi="宋体" w:eastAsia="宋体" w:cs="宋体"/>
                                      <w:lang w:eastAsia="zh-CN"/>
                                    </w:rPr>
                                  </w:pPr>
                                  <w:r>
                                    <w:rPr>
                                      <w:rFonts w:hint="eastAsia" w:hAnsi="Arial" w:cs="Arial"/>
                                      <w:lang w:val="en-US" w:eastAsia="zh-CN"/>
                                    </w:rPr>
                                    <w:t>三级</w:t>
                                  </w:r>
                                  <w:r>
                                    <w:rPr>
                                      <w:rFonts w:hint="eastAsia" w:ascii="Times New Roman" w:hAnsi="Arial" w:cs="Arial"/>
                                    </w:rPr>
                                    <w:t>沉淀、过滤处理后</w:t>
                                  </w:r>
                                </w:p>
                              </w:txbxContent>
                            </v:textbox>
                          </v:rect>
                        </w:pict>
                      </mc:Fallback>
                    </mc:AlternateContent>
                  </w:r>
                  <w:r>
                    <w:rPr>
                      <w:rFonts w:hint="default"/>
                    </w:rPr>
                    <mc:AlternateContent>
                      <mc:Choice Requires="wps">
                        <w:drawing>
                          <wp:anchor distT="0" distB="0" distL="114300" distR="114300" simplePos="0" relativeHeight="251672576" behindDoc="0" locked="0" layoutInCell="1" allowOverlap="1">
                            <wp:simplePos x="0" y="0"/>
                            <wp:positionH relativeFrom="column">
                              <wp:posOffset>2030730</wp:posOffset>
                            </wp:positionH>
                            <wp:positionV relativeFrom="paragraph">
                              <wp:posOffset>1188085</wp:posOffset>
                            </wp:positionV>
                            <wp:extent cx="447040" cy="1905"/>
                            <wp:effectExtent l="0" t="36830" r="10160" b="37465"/>
                            <wp:wrapNone/>
                            <wp:docPr id="42" name="直接连接符 42"/>
                            <wp:cNvGraphicFramePr/>
                            <a:graphic xmlns:a="http://schemas.openxmlformats.org/drawingml/2006/main">
                              <a:graphicData uri="http://schemas.microsoft.com/office/word/2010/wordprocessingShape">
                                <wps:wsp>
                                  <wps:cNvCnPr/>
                                  <wps:spPr>
                                    <a:xfrm>
                                      <a:off x="0" y="0"/>
                                      <a:ext cx="447040" cy="1905"/>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9.9pt;margin-top:93.55pt;height:0.15pt;width:35.2pt;z-index:251672576;mso-width-relative:page;mso-height-relative:page;" filled="f" stroked="t" coordsize="21600,21600" o:gfxdata="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sH2dkAAAALAQAADwAAAAAAAAABACAAAAAiAAAAZHJzL2Rvd25y&#10;ZXYueG1sUEsBAhQAFAAAAAgAh07iQB9Vp9n9AQAA7AMAAA4AAAAAAAAAAQAgAAAAKAEAAGRycy9l&#10;Mm9Eb2MueG1sUEsFBgAAAAAGAAYAWQEAAJcFAAAAAA==&#10;">
                            <v:fill on="f" focussize="0,0"/>
                            <v:stroke weight="0.5pt" color="#000000" joinstyle="round" endarrow="block"/>
                            <v:imagedata o:title=""/>
                            <o:lock v:ext="edit" aspectratio="f"/>
                          </v:line>
                        </w:pict>
                      </mc:Fallback>
                    </mc:AlternateContent>
                  </w:r>
                  <w:r>
                    <w:rPr>
                      <w:rFonts w:hint="default"/>
                    </w:rPr>
                    <mc:AlternateContent>
                      <mc:Choice Requires="wps">
                        <w:drawing>
                          <wp:anchor distT="0" distB="0" distL="114300" distR="114300" simplePos="0" relativeHeight="251670528" behindDoc="0" locked="0" layoutInCell="1" allowOverlap="1">
                            <wp:simplePos x="0" y="0"/>
                            <wp:positionH relativeFrom="column">
                              <wp:posOffset>368300</wp:posOffset>
                            </wp:positionH>
                            <wp:positionV relativeFrom="paragraph">
                              <wp:posOffset>910590</wp:posOffset>
                            </wp:positionV>
                            <wp:extent cx="685800" cy="24765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685800" cy="247650"/>
                                    </a:xfrm>
                                    <a:prstGeom prst="rect">
                                      <a:avLst/>
                                    </a:prstGeom>
                                    <a:noFill/>
                                    <a:ln>
                                      <a:noFill/>
                                    </a:ln>
                                  </wps:spPr>
                                  <wps:txb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1920</w:t>
                                        </w:r>
                                      </w:p>
                                    </w:txbxContent>
                                  </wps:txbx>
                                  <wps:bodyPr upright="1"/>
                                </wps:wsp>
                              </a:graphicData>
                            </a:graphic>
                          </wp:anchor>
                        </w:drawing>
                      </mc:Choice>
                      <mc:Fallback>
                        <w:pict>
                          <v:shape id="_x0000_s1026" o:spid="_x0000_s1026" o:spt="202" type="#_x0000_t202" style="position:absolute;left:0pt;margin-left:29pt;margin-top:71.7pt;height:19.5pt;width:54pt;z-index:251670528;mso-width-relative:page;mso-height-relative:page;" filled="f" stroked="f" coordsize="21600,21600" o:gfxdata="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j1nVNcA&#10;AAAKAQAADwAAAAAAAAABACAAAAAiAAAAZHJzL2Rvd25yZXYueG1sUEsBAhQAFAAAAAgAh07iQIkJ&#10;qdWuAQAATwMAAA4AAAAAAAAAAQAgAAAAJgEAAGRycy9lMm9Eb2MueG1sUEsFBgAAAAAGAAYAWQEA&#10;AEYFAAAAAA==&#10;">
                            <v:fill on="f" focussize="0,0"/>
                            <v:stroke on="f"/>
                            <v:imagedata o:title=""/>
                            <o:lock v:ext="edit" aspectratio="f"/>
                            <v:textbo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1920</w:t>
                                  </w:r>
                                </w:p>
                              </w:txbxContent>
                            </v:textbox>
                          </v:shape>
                        </w:pict>
                      </mc:Fallback>
                    </mc:AlternateContent>
                  </w:r>
                  <w:r>
                    <w:rPr>
                      <w:rFonts w:hint="default"/>
                    </w:rPr>
                    <mc:AlternateContent>
                      <mc:Choice Requires="wps">
                        <w:drawing>
                          <wp:anchor distT="0" distB="0" distL="114300" distR="114300" simplePos="0" relativeHeight="251665408" behindDoc="0" locked="0" layoutInCell="1" allowOverlap="1">
                            <wp:simplePos x="0" y="0"/>
                            <wp:positionH relativeFrom="column">
                              <wp:posOffset>-71120</wp:posOffset>
                            </wp:positionH>
                            <wp:positionV relativeFrom="paragraph">
                              <wp:posOffset>668020</wp:posOffset>
                            </wp:positionV>
                            <wp:extent cx="616585" cy="289560"/>
                            <wp:effectExtent l="0" t="0" r="0" b="0"/>
                            <wp:wrapNone/>
                            <wp:docPr id="38" name="矩形 38"/>
                            <wp:cNvGraphicFramePr/>
                            <a:graphic xmlns:a="http://schemas.openxmlformats.org/drawingml/2006/main">
                              <a:graphicData uri="http://schemas.microsoft.com/office/word/2010/wordprocessingShape">
                                <wps:wsp>
                                  <wps:cNvSpPr/>
                                  <wps:spPr>
                                    <a:xfrm>
                                      <a:off x="0" y="0"/>
                                      <a:ext cx="616585" cy="289560"/>
                                    </a:xfrm>
                                    <a:prstGeom prst="rect">
                                      <a:avLst/>
                                    </a:prstGeom>
                                    <a:noFill/>
                                    <a:ln>
                                      <a:noFill/>
                                    </a:ln>
                                  </wps:spPr>
                                  <wps:txbx>
                                    <w:txbxContent>
                                      <w:p>
                                        <w:pPr>
                                          <w:rPr>
                                            <w:rFonts w:hint="eastAsia" w:ascii="宋体" w:hAnsi="宋体" w:eastAsia="宋体" w:cs="宋体"/>
                                          </w:rPr>
                                        </w:pPr>
                                        <w:r>
                                          <w:rPr>
                                            <w:rFonts w:hint="eastAsia" w:ascii="宋体" w:hAnsi="宋体" w:eastAsia="宋体" w:cs="宋体"/>
                                          </w:rPr>
                                          <w:t>新鲜水</w:t>
                                        </w:r>
                                      </w:p>
                                    </w:txbxContent>
                                  </wps:txbx>
                                  <wps:bodyPr upright="1"/>
                                </wps:wsp>
                              </a:graphicData>
                            </a:graphic>
                          </wp:anchor>
                        </w:drawing>
                      </mc:Choice>
                      <mc:Fallback>
                        <w:pict>
                          <v:rect id="_x0000_s1026" o:spid="_x0000_s1026" o:spt="1" style="position:absolute;left:0pt;margin-left:-5.6pt;margin-top:52.6pt;height:22.8pt;width:48.55pt;z-index:251665408;mso-width-relative:page;mso-height-relative:page;" filled="f" stroked="f" coordsize="21600,21600" o:gfxdata="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Bb47idkAAAAKAQAADwAA&#10;AAAAAAABACAAAAAiAAAAZHJzL2Rvd25yZXYueG1sUEsBAhQAFAAAAAgAh07iQEAMWbajAQAAQgMA&#10;AA4AAAAAAAAAAQAgAAAAKAEAAGRycy9lMm9Eb2MueG1sUEsFBgAAAAAGAAYAWQEAAD0FAAAAAA==&#10;">
                            <v:fill on="f" focussize="0,0"/>
                            <v:stroke on="f"/>
                            <v:imagedata o:title=""/>
                            <o:lock v:ext="edit" aspectratio="f"/>
                            <v:textbox>
                              <w:txbxContent>
                                <w:p>
                                  <w:pPr>
                                    <w:rPr>
                                      <w:rFonts w:hint="eastAsia" w:ascii="宋体" w:hAnsi="宋体" w:eastAsia="宋体" w:cs="宋体"/>
                                    </w:rPr>
                                  </w:pPr>
                                  <w:r>
                                    <w:rPr>
                                      <w:rFonts w:hint="eastAsia" w:ascii="宋体" w:hAnsi="宋体" w:eastAsia="宋体" w:cs="宋体"/>
                                    </w:rPr>
                                    <w:t>新鲜水</w:t>
                                  </w:r>
                                </w:p>
                              </w:txbxContent>
                            </v:textbox>
                          </v:rect>
                        </w:pict>
                      </mc:Fallback>
                    </mc:AlternateContent>
                  </w:r>
                  <w:r>
                    <w:rPr>
                      <w:rFonts w:hint="default"/>
                    </w:rPr>
                    <mc:AlternateContent>
                      <mc:Choice Requires="wps">
                        <w:drawing>
                          <wp:anchor distT="0" distB="0" distL="114300" distR="114300" simplePos="0" relativeHeight="251662336" behindDoc="1" locked="0" layoutInCell="1" allowOverlap="1">
                            <wp:simplePos x="0" y="0"/>
                            <wp:positionH relativeFrom="column">
                              <wp:posOffset>463550</wp:posOffset>
                            </wp:positionH>
                            <wp:positionV relativeFrom="paragraph">
                              <wp:posOffset>846455</wp:posOffset>
                            </wp:positionV>
                            <wp:extent cx="484505" cy="356235"/>
                            <wp:effectExtent l="2540" t="3810" r="8255" b="8255"/>
                            <wp:wrapNone/>
                            <wp:docPr id="32" name="直接连接符 32"/>
                            <wp:cNvGraphicFramePr/>
                            <a:graphic xmlns:a="http://schemas.openxmlformats.org/drawingml/2006/main">
                              <a:graphicData uri="http://schemas.microsoft.com/office/word/2010/wordprocessingShape">
                                <wps:wsp>
                                  <wps:cNvCnPr/>
                                  <wps:spPr>
                                    <a:xfrm>
                                      <a:off x="0" y="0"/>
                                      <a:ext cx="484505" cy="356235"/>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5pt;margin-top:66.65pt;height:28.05pt;width:38.15pt;z-index:-251654144;mso-width-relative:page;mso-height-relative:page;" filled="f" stroked="t" coordsize="21600,21600" o:gfxdata="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1q9ntkAAAAKAQAADwAAAAAAAAABACAAAAAiAAAAZHJzL2Rv&#10;d25yZXYueG1sUEsBAhQAFAAAAAgAh07iQHYnNo8AAgAA7gMAAA4AAAAAAAAAAQAgAAAAKAEAAGRy&#10;cy9lMm9Eb2MueG1sUEsFBgAAAAAGAAYAWQEAAJoFAAAAAA==&#10;">
                            <v:fill on="f" focussize="0,0"/>
                            <v:stroke weight="0.5pt" color="#000000" joinstyle="round" endarrow="block"/>
                            <v:imagedata o:title=""/>
                            <o:lock v:ext="edit" aspectratio="f"/>
                          </v:line>
                        </w:pict>
                      </mc:Fallback>
                    </mc:AlternateContent>
                  </w:r>
                  <w:r>
                    <w:rPr>
                      <w:rFonts w:hint="default"/>
                    </w:rPr>
                    <mc:AlternateContent>
                      <mc:Choice Requires="wps">
                        <w:drawing>
                          <wp:anchor distT="0" distB="0" distL="114300" distR="114300" simplePos="0" relativeHeight="251671552" behindDoc="0" locked="0" layoutInCell="1" allowOverlap="1">
                            <wp:simplePos x="0" y="0"/>
                            <wp:positionH relativeFrom="column">
                              <wp:posOffset>387350</wp:posOffset>
                            </wp:positionH>
                            <wp:positionV relativeFrom="paragraph">
                              <wp:posOffset>424815</wp:posOffset>
                            </wp:positionV>
                            <wp:extent cx="685800" cy="24765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685800" cy="247650"/>
                                    </a:xfrm>
                                    <a:prstGeom prst="rect">
                                      <a:avLst/>
                                    </a:prstGeom>
                                    <a:noFill/>
                                    <a:ln>
                                      <a:noFill/>
                                    </a:ln>
                                  </wps:spPr>
                                  <wps:txb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250</w:t>
                                        </w:r>
                                      </w:p>
                                    </w:txbxContent>
                                  </wps:txbx>
                                  <wps:bodyPr upright="1"/>
                                </wps:wsp>
                              </a:graphicData>
                            </a:graphic>
                          </wp:anchor>
                        </w:drawing>
                      </mc:Choice>
                      <mc:Fallback>
                        <w:pict>
                          <v:shape id="_x0000_s1026" o:spid="_x0000_s1026" o:spt="202" type="#_x0000_t202" style="position:absolute;left:0pt;margin-left:30.5pt;margin-top:33.45pt;height:19.5pt;width:54pt;z-index:251671552;mso-width-relative:page;mso-height-relative:page;" filled="f" stroked="f" coordsize="21600,21600" o:gfxdata="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aptr3VAAAA&#10;CQEAAA8AAAAAAAAAAQAgAAAAIgAAAGRycy9kb3ducmV2LnhtbFBLAQIUABQAAAAIAIdO4kDFUBiO&#10;rgEAAE8DAAAOAAAAAAAAAAEAIAAAACQBAABkcnMvZTJvRG9jLnhtbFBLBQYAAAAABgAGAFkBAABE&#10;BQAAAAA=&#10;">
                            <v:fill on="f" focussize="0,0"/>
                            <v:stroke on="f"/>
                            <v:imagedata o:title=""/>
                            <o:lock v:ext="edit" aspectratio="f"/>
                            <v:textbox>
                              <w:txbxContent>
                                <w:p>
                                  <w:pP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250</w:t>
                                  </w:r>
                                </w:p>
                              </w:txbxContent>
                            </v:textbox>
                          </v:shape>
                        </w:pict>
                      </mc:Fallback>
                    </mc:AlternateContent>
                  </w:r>
                  <w:r>
                    <w:rPr>
                      <w:rFonts w:hint="default"/>
                    </w:rPr>
                    <mc:AlternateContent>
                      <mc:Choice Requires="wps">
                        <w:drawing>
                          <wp:anchor distT="0" distB="0" distL="114300" distR="114300" simplePos="0" relativeHeight="251661312" behindDoc="1" locked="0" layoutInCell="1" allowOverlap="1">
                            <wp:simplePos x="0" y="0"/>
                            <wp:positionH relativeFrom="column">
                              <wp:posOffset>461010</wp:posOffset>
                            </wp:positionH>
                            <wp:positionV relativeFrom="paragraph">
                              <wp:posOffset>435610</wp:posOffset>
                            </wp:positionV>
                            <wp:extent cx="482600" cy="370840"/>
                            <wp:effectExtent l="3175" t="0" r="9525" b="10160"/>
                            <wp:wrapNone/>
                            <wp:docPr id="21" name="直接连接符 21"/>
                            <wp:cNvGraphicFramePr/>
                            <a:graphic xmlns:a="http://schemas.openxmlformats.org/drawingml/2006/main">
                              <a:graphicData uri="http://schemas.microsoft.com/office/word/2010/wordprocessingShape">
                                <wps:wsp>
                                  <wps:cNvCnPr/>
                                  <wps:spPr>
                                    <a:xfrm flipV="1">
                                      <a:off x="0" y="0"/>
                                      <a:ext cx="482600" cy="370840"/>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36.3pt;margin-top:34.3pt;height:29.2pt;width:38pt;z-index:-251655168;mso-width-relative:page;mso-height-relative:page;" filled="f" stroked="t" coordsize="21600,21600" o:gfxdata="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yLbBC2AAAAAkBAAAPAAAAAAAAAAEAIAAAACIA&#10;AABkcnMvZG93bnJldi54bWxQSwECFAAUAAAACACHTuJAo4GjKQkCAAD4AwAADgAAAAAAAAABACAA&#10;AAAnAQAAZHJzL2Uyb0RvYy54bWxQSwUGAAAAAAYABgBZAQAAogUAAAAA&#10;">
                            <v:fill on="f" focussize="0,0"/>
                            <v:stroke weight="0.5pt" color="#000000" joinstyle="round" endarrow="block"/>
                            <v:imagedata o:title=""/>
                            <o:lock v:ext="edit" aspectratio="f"/>
                          </v:line>
                        </w:pict>
                      </mc:Fallback>
                    </mc:AlternateContent>
                  </w:r>
                  <w:r>
                    <w:rPr>
                      <w:rFonts w:hint="default"/>
                    </w:rPr>
                    <mc:AlternateContent>
                      <mc:Choice Requires="wps">
                        <w:drawing>
                          <wp:anchor distT="0" distB="0" distL="114300" distR="114300" simplePos="0" relativeHeight="251666432" behindDoc="0" locked="0" layoutInCell="1" allowOverlap="1">
                            <wp:simplePos x="0" y="0"/>
                            <wp:positionH relativeFrom="column">
                              <wp:posOffset>1692275</wp:posOffset>
                            </wp:positionH>
                            <wp:positionV relativeFrom="paragraph">
                              <wp:posOffset>455295</wp:posOffset>
                            </wp:positionV>
                            <wp:extent cx="340995" cy="1905"/>
                            <wp:effectExtent l="0" t="36830" r="1905" b="37465"/>
                            <wp:wrapNone/>
                            <wp:docPr id="33" name="直接连接符 33"/>
                            <wp:cNvGraphicFramePr/>
                            <a:graphic xmlns:a="http://schemas.openxmlformats.org/drawingml/2006/main">
                              <a:graphicData uri="http://schemas.microsoft.com/office/word/2010/wordprocessingShape">
                                <wps:wsp>
                                  <wps:cNvCnPr/>
                                  <wps:spPr>
                                    <a:xfrm>
                                      <a:off x="0" y="0"/>
                                      <a:ext cx="340995" cy="1905"/>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3.25pt;margin-top:35.85pt;height:0.15pt;width:26.85pt;z-index:251666432;mso-width-relative:page;mso-height-relative:page;" filled="f" stroked="t" coordsize="21600,21600" o:gfxdata="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hAMYTYAAAACQEAAA8AAAAAAAAAAQAgAAAAIgAAAGRycy9kb3du&#10;cmV2LnhtbFBLAQIUABQAAAAIAIdO4kDD7puW/wEAAOwDAAAOAAAAAAAAAAEAIAAAACcBAABkcnMv&#10;ZTJvRG9jLnhtbFBLBQYAAAAABgAGAFkBAACYBQAAAAA=&#10;">
                            <v:fill on="f" focussize="0,0"/>
                            <v:stroke weight="0.5pt" color="#000000" joinstyle="round" endarrow="block"/>
                            <v:imagedata o:title=""/>
                            <o:lock v:ext="edit" aspectratio="f"/>
                          </v:line>
                        </w:pict>
                      </mc:Fallback>
                    </mc:AlternateContent>
                  </w:r>
                  <w:r>
                    <w:rPr>
                      <w:rFonts w:hint="default"/>
                    </w:rPr>
                    <mc:AlternateContent>
                      <mc:Choice Requires="wps">
                        <w:drawing>
                          <wp:anchor distT="0" distB="0" distL="114300" distR="114300" simplePos="0" relativeHeight="251669504" behindDoc="0" locked="0" layoutInCell="1" allowOverlap="1">
                            <wp:simplePos x="0" y="0"/>
                            <wp:positionH relativeFrom="column">
                              <wp:posOffset>1249680</wp:posOffset>
                            </wp:positionH>
                            <wp:positionV relativeFrom="paragraph">
                              <wp:posOffset>38735</wp:posOffset>
                            </wp:positionV>
                            <wp:extent cx="685800" cy="276225"/>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685800" cy="276225"/>
                                    </a:xfrm>
                                    <a:prstGeom prst="rect">
                                      <a:avLst/>
                                    </a:prstGeom>
                                    <a:noFill/>
                                    <a:ln>
                                      <a:noFill/>
                                    </a:ln>
                                  </wps:spPr>
                                  <wps:txbx>
                                    <w:txbxContent>
                                      <w:p>
                                        <w:pPr>
                                          <w:rPr>
                                            <w:rFonts w:hint="default" w:ascii="Times New Roman" w:hAnsi="Times New Roman" w:eastAsia="宋体" w:cs="Times New Roman"/>
                                            <w:sz w:val="18"/>
                                            <w:szCs w:val="18"/>
                                            <w:lang w:val="en-US" w:eastAsia="zh-CN"/>
                                          </w:rPr>
                                        </w:pPr>
                                        <w:r>
                                          <w:rPr>
                                            <w:rFonts w:hint="eastAsia" w:ascii="宋体" w:hAnsi="宋体" w:eastAsia="宋体" w:cs="宋体"/>
                                            <w:sz w:val="18"/>
                                            <w:szCs w:val="18"/>
                                            <w:lang w:val="en-US" w:eastAsia="zh-CN"/>
                                          </w:rPr>
                                          <w:t>损耗</w:t>
                                        </w:r>
                                        <w:r>
                                          <w:rPr>
                                            <w:rFonts w:hint="eastAsia" w:cs="Times New Roman"/>
                                            <w:sz w:val="18"/>
                                            <w:szCs w:val="18"/>
                                            <w:lang w:val="en-US" w:eastAsia="zh-CN"/>
                                          </w:rPr>
                                          <w:t>50</w:t>
                                        </w:r>
                                      </w:p>
                                    </w:txbxContent>
                                  </wps:txbx>
                                  <wps:bodyPr upright="1"/>
                                </wps:wsp>
                              </a:graphicData>
                            </a:graphic>
                          </wp:anchor>
                        </w:drawing>
                      </mc:Choice>
                      <mc:Fallback>
                        <w:pict>
                          <v:shape id="_x0000_s1026" o:spid="_x0000_s1026" o:spt="202" type="#_x0000_t202" style="position:absolute;left:0pt;margin-left:98.4pt;margin-top:3.05pt;height:21.75pt;width:54pt;z-index:251669504;mso-width-relative:page;mso-height-relative:page;" filled="f" stroked="f" coordsize="21600,21600" o:gfxdata="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TqFCK1AAAAAgB&#10;AAAPAAAAAAAAAAEAIAAAACIAAABkcnMvZG93bnJldi54bWxQSwECFAAUAAAACACHTuJAKu5fJa0B&#10;AABPAwAADgAAAAAAAAABACAAAAAjAQAAZHJzL2Uyb0RvYy54bWxQSwUGAAAAAAYABgBZAQAAQgUA&#10;AAAA&#10;">
                            <v:fill on="f" focussize="0,0"/>
                            <v:stroke on="f"/>
                            <v:imagedata o:title=""/>
                            <o:lock v:ext="edit" aspectratio="f"/>
                            <v:textbox>
                              <w:txbxContent>
                                <w:p>
                                  <w:pPr>
                                    <w:rPr>
                                      <w:rFonts w:hint="default" w:ascii="Times New Roman" w:hAnsi="Times New Roman" w:eastAsia="宋体" w:cs="Times New Roman"/>
                                      <w:sz w:val="18"/>
                                      <w:szCs w:val="18"/>
                                      <w:lang w:val="en-US" w:eastAsia="zh-CN"/>
                                    </w:rPr>
                                  </w:pPr>
                                  <w:r>
                                    <w:rPr>
                                      <w:rFonts w:hint="eastAsia" w:ascii="宋体" w:hAnsi="宋体" w:eastAsia="宋体" w:cs="宋体"/>
                                      <w:sz w:val="18"/>
                                      <w:szCs w:val="18"/>
                                      <w:lang w:val="en-US" w:eastAsia="zh-CN"/>
                                    </w:rPr>
                                    <w:t>损耗</w:t>
                                  </w:r>
                                  <w:r>
                                    <w:rPr>
                                      <w:rFonts w:hint="eastAsia" w:cs="Times New Roman"/>
                                      <w:sz w:val="18"/>
                                      <w:szCs w:val="18"/>
                                      <w:lang w:val="en-US" w:eastAsia="zh-CN"/>
                                    </w:rPr>
                                    <w:t>50</w:t>
                                  </w:r>
                                </w:p>
                              </w:txbxContent>
                            </v:textbox>
                          </v:shape>
                        </w:pict>
                      </mc:Fallback>
                    </mc:AlternateContent>
                  </w:r>
                  <w:r>
                    <w:rPr>
                      <w:rFonts w:hint="default"/>
                    </w:rPr>
                    <mc:AlternateContent>
                      <mc:Choice Requires="wps">
                        <w:drawing>
                          <wp:anchor distT="0" distB="0" distL="114300" distR="114300" simplePos="0" relativeHeight="251667456" behindDoc="0" locked="0" layoutInCell="1" allowOverlap="1">
                            <wp:simplePos x="0" y="0"/>
                            <wp:positionH relativeFrom="column">
                              <wp:posOffset>1056640</wp:posOffset>
                            </wp:positionH>
                            <wp:positionV relativeFrom="paragraph">
                              <wp:posOffset>182880</wp:posOffset>
                            </wp:positionV>
                            <wp:extent cx="247650" cy="104775"/>
                            <wp:effectExtent l="1905" t="5715" r="4445" b="3810"/>
                            <wp:wrapNone/>
                            <wp:docPr id="36" name="直接连接符 36"/>
                            <wp:cNvGraphicFramePr/>
                            <a:graphic xmlns:a="http://schemas.openxmlformats.org/drawingml/2006/main">
                              <a:graphicData uri="http://schemas.microsoft.com/office/word/2010/wordprocessingShape">
                                <wps:wsp>
                                  <wps:cNvCnPr/>
                                  <wps:spPr>
                                    <a:xfrm flipV="1">
                                      <a:off x="0" y="0"/>
                                      <a:ext cx="247650" cy="10477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_x0000_s1026" o:spid="_x0000_s1026" o:spt="20" style="position:absolute;left:0pt;flip:y;margin-left:83.2pt;margin-top:14.4pt;height:8.25pt;width:19.5pt;z-index:251667456;mso-width-relative:page;mso-height-relative:page;" filled="f" stroked="t" coordsize="21600,21600" o:gfxdata="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PN7mP1gAAAAkBAAAPAAAAAAAAAAEAIAAAACIAAABk&#10;cnMvZG93bnJldi54bWxQSwECFAAUAAAACACHTuJAX0T75ggCAAD3AwAADgAAAAAAAAABACAAAAAl&#10;AQAAZHJzL2Uyb0RvYy54bWxQSwUGAAAAAAYABgBZAQAAnwUAAAAA&#10;">
                            <v:fill on="f" focussize="0,0"/>
                            <v:stroke color="#000000" joinstyle="round" dashstyle="dash" endarrow="block"/>
                            <v:imagedata o:title=""/>
                            <o:lock v:ext="edit" aspectratio="f"/>
                          </v:line>
                        </w:pict>
                      </mc:Fallback>
                    </mc:AlternateContent>
                  </w:r>
                  <w:r>
                    <w:rPr>
                      <w:rFonts w:hint="default"/>
                    </w:rPr>
                    <mc:AlternateContent>
                      <mc:Choice Requires="wps">
                        <w:drawing>
                          <wp:anchor distT="0" distB="0" distL="114300" distR="114300" simplePos="0" relativeHeight="251659264" behindDoc="1" locked="0" layoutInCell="1" allowOverlap="1">
                            <wp:simplePos x="0" y="0"/>
                            <wp:positionH relativeFrom="column">
                              <wp:posOffset>937260</wp:posOffset>
                            </wp:positionH>
                            <wp:positionV relativeFrom="paragraph">
                              <wp:posOffset>310515</wp:posOffset>
                            </wp:positionV>
                            <wp:extent cx="744855" cy="289560"/>
                            <wp:effectExtent l="4445" t="4445" r="12700" b="10795"/>
                            <wp:wrapNone/>
                            <wp:docPr id="22" name="矩形 22"/>
                            <wp:cNvGraphicFramePr/>
                            <a:graphic xmlns:a="http://schemas.openxmlformats.org/drawingml/2006/main">
                              <a:graphicData uri="http://schemas.microsoft.com/office/word/2010/wordprocessingShape">
                                <wps:wsp>
                                  <wps:cNvSpPr/>
                                  <wps:spPr>
                                    <a:xfrm>
                                      <a:off x="0" y="0"/>
                                      <a:ext cx="744855" cy="2895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lang w:eastAsia="zh-CN"/>
                                          </w:rPr>
                                        </w:pPr>
                                        <w:r>
                                          <w:rPr>
                                            <w:rFonts w:hint="eastAsia" w:ascii="宋体" w:hAnsi="宋体" w:eastAsia="宋体" w:cs="宋体"/>
                                            <w:lang w:eastAsia="zh-CN"/>
                                          </w:rPr>
                                          <w:t>生活用水</w:t>
                                        </w:r>
                                      </w:p>
                                    </w:txbxContent>
                                  </wps:txbx>
                                  <wps:bodyPr upright="1"/>
                                </wps:wsp>
                              </a:graphicData>
                            </a:graphic>
                          </wp:anchor>
                        </w:drawing>
                      </mc:Choice>
                      <mc:Fallback>
                        <w:pict>
                          <v:rect id="_x0000_s1026" o:spid="_x0000_s1026" o:spt="1" style="position:absolute;left:0pt;margin-left:73.8pt;margin-top:24.45pt;height:22.8pt;width:58.65pt;z-index:-251657216;mso-width-relative:page;mso-height-relative:page;" fillcolor="#FFFFFF" filled="t" stroked="t" coordsize="21600,21600" o:gfxdata="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qAr41wAAAAkBAAAPAAAAAAAAAAEAIAAAACIAAABkcnMv&#10;ZG93bnJldi54bWxQSwECFAAUAAAACACHTuJAxr7opAQCAAAqBAAADgAAAAAAAAABACAAAAAmAQAA&#10;ZHJzL2Uyb0RvYy54bWxQSwUGAAAAAAYABgBZAQAAnAUAAAAA&#10;">
                            <v:fill on="t" focussize="0,0"/>
                            <v:stroke color="#000000" joinstyle="miter"/>
                            <v:imagedata o:title=""/>
                            <o:lock v:ext="edit" aspectratio="f"/>
                            <v:textbox>
                              <w:txbxContent>
                                <w:p>
                                  <w:pPr>
                                    <w:jc w:val="center"/>
                                    <w:rPr>
                                      <w:rFonts w:hint="eastAsia" w:ascii="宋体" w:hAnsi="宋体" w:eastAsia="宋体" w:cs="宋体"/>
                                      <w:lang w:eastAsia="zh-CN"/>
                                    </w:rPr>
                                  </w:pPr>
                                  <w:r>
                                    <w:rPr>
                                      <w:rFonts w:hint="eastAsia" w:ascii="宋体" w:hAnsi="宋体" w:eastAsia="宋体" w:cs="宋体"/>
                                      <w:lang w:eastAsia="zh-CN"/>
                                    </w:rPr>
                                    <w:t>生活用水</w:t>
                                  </w:r>
                                </w:p>
                              </w:txbxContent>
                            </v:textbox>
                          </v:rect>
                        </w:pict>
                      </mc:Fallback>
                    </mc:AlternateConten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b/>
                <w:bCs/>
                <w:sz w:val="24"/>
                <w:szCs w:val="24"/>
              </w:rPr>
            </w:pPr>
            <w:r>
              <w:rPr>
                <w:b/>
                <w:bCs/>
                <w:sz w:val="24"/>
                <w:szCs w:val="24"/>
              </w:rPr>
              <w:t>图2-1项目水平衡图  单位：t/</w:t>
            </w:r>
            <w:r>
              <w:rPr>
                <w:rFonts w:hint="eastAsia"/>
                <w:b/>
                <w:bCs/>
                <w:sz w:val="24"/>
                <w:szCs w:val="24"/>
              </w:rPr>
              <w:t>a</w:t>
            </w:r>
          </w:p>
          <w:p>
            <w:pPr>
              <w:keepNext w:val="0"/>
              <w:keepLines w:val="0"/>
              <w:suppressLineNumbers w:val="0"/>
              <w:adjustRightInd w:val="0"/>
              <w:snapToGrid w:val="0"/>
              <w:spacing w:before="0" w:beforeAutospacing="0" w:after="0" w:afterAutospacing="0" w:line="360" w:lineRule="auto"/>
              <w:ind w:left="0" w:right="0"/>
              <w:rPr>
                <w:b/>
                <w:bCs/>
                <w:sz w:val="24"/>
                <w:szCs w:val="24"/>
              </w:rPr>
            </w:pPr>
            <w:r>
              <w:rPr>
                <w:b/>
                <w:bCs/>
                <w:sz w:val="24"/>
                <w:szCs w:val="24"/>
              </w:rPr>
              <w:t>主要工艺流程及产污环节：</w:t>
            </w:r>
          </w:p>
          <w:p>
            <w:pPr>
              <w:keepNext w:val="0"/>
              <w:keepLines w:val="0"/>
              <w:suppressLineNumbers w:val="0"/>
              <w:adjustRightInd w:val="0"/>
              <w:snapToGrid w:val="0"/>
              <w:spacing w:before="0" w:beforeAutospacing="0" w:after="0" w:afterAutospacing="0" w:line="360" w:lineRule="auto"/>
              <w:ind w:left="0" w:right="0" w:firstLine="480" w:firstLineChars="200"/>
              <w:jc w:val="both"/>
              <w:rPr>
                <w:rFonts w:hint="eastAsia"/>
                <w:sz w:val="24"/>
                <w:szCs w:val="24"/>
              </w:rPr>
            </w:pPr>
            <w:r>
              <w:rPr>
                <w:sz w:val="24"/>
                <w:szCs w:val="24"/>
              </w:rPr>
              <w:t>项目生产工艺流程及产</w:t>
            </w:r>
            <w:r>
              <w:rPr>
                <w:rFonts w:hint="eastAsia"/>
                <w:sz w:val="24"/>
                <w:szCs w:val="24"/>
              </w:rPr>
              <w:t>污</w:t>
            </w:r>
            <w:r>
              <w:rPr>
                <w:sz w:val="24"/>
                <w:szCs w:val="24"/>
              </w:rPr>
              <w:t>流程见图</w:t>
            </w:r>
            <w:r>
              <w:rPr>
                <w:rFonts w:hint="eastAsia"/>
                <w:sz w:val="24"/>
                <w:szCs w:val="24"/>
                <w:lang w:val="en-US" w:eastAsia="zh-CN"/>
              </w:rPr>
              <w:t>2</w:t>
            </w:r>
            <w:r>
              <w:rPr>
                <w:sz w:val="24"/>
                <w:szCs w:val="24"/>
              </w:rPr>
              <w:t>-</w:t>
            </w:r>
            <w:r>
              <w:rPr>
                <w:rFonts w:hint="eastAsia"/>
                <w:sz w:val="24"/>
                <w:szCs w:val="24"/>
                <w:lang w:val="en-US" w:eastAsia="zh-CN"/>
              </w:rPr>
              <w:t>2</w:t>
            </w:r>
            <w:r>
              <w:rPr>
                <w:sz w:val="24"/>
                <w:szCs w:val="24"/>
              </w:rPr>
              <w:t>。</w:t>
            </w:r>
          </w:p>
          <w:p>
            <w:pPr>
              <w:keepNext w:val="0"/>
              <w:keepLines w:val="0"/>
              <w:suppressLineNumbers w:val="0"/>
              <w:spacing w:before="0" w:beforeAutospacing="0" w:after="0" w:afterAutospacing="0"/>
              <w:ind w:left="0" w:right="0"/>
              <w:jc w:val="center"/>
            </w:pPr>
            <w:r>
              <w:drawing>
                <wp:inline distT="0" distB="0" distL="114300" distR="114300">
                  <wp:extent cx="5171440" cy="3317240"/>
                  <wp:effectExtent l="0" t="0" r="10160" b="1651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9"/>
                          <a:srcRect t="2851" b="1971"/>
                          <a:stretch>
                            <a:fillRect/>
                          </a:stretch>
                        </pic:blipFill>
                        <pic:spPr>
                          <a:xfrm>
                            <a:off x="0" y="0"/>
                            <a:ext cx="5171440" cy="3317240"/>
                          </a:xfrm>
                          <a:prstGeom prst="rect">
                            <a:avLst/>
                          </a:prstGeom>
                          <a:noFill/>
                          <a:ln>
                            <a:noFill/>
                          </a:ln>
                        </pic:spPr>
                      </pic:pic>
                    </a:graphicData>
                  </a:graphic>
                </wp:inline>
              </w:drawing>
            </w:r>
          </w:p>
          <w:p>
            <w:pPr>
              <w:keepNext w:val="0"/>
              <w:keepLines w:val="0"/>
              <w:suppressLineNumbers w:val="0"/>
              <w:spacing w:before="0" w:beforeAutospacing="0" w:after="0" w:afterAutospacing="0" w:line="360" w:lineRule="auto"/>
              <w:ind w:left="0" w:right="0"/>
              <w:jc w:val="center"/>
              <w:rPr>
                <w:b/>
                <w:bCs/>
                <w:kern w:val="0"/>
                <w:sz w:val="24"/>
                <w:szCs w:val="24"/>
              </w:rPr>
            </w:pPr>
            <w:r>
              <w:rPr>
                <w:b/>
                <w:sz w:val="24"/>
                <w:szCs w:val="24"/>
              </w:rPr>
              <w:t>图</w:t>
            </w:r>
            <w:r>
              <w:rPr>
                <w:rFonts w:hint="eastAsia"/>
                <w:b/>
                <w:sz w:val="24"/>
                <w:szCs w:val="24"/>
                <w:lang w:val="en-US" w:eastAsia="zh-CN"/>
              </w:rPr>
              <w:t>2</w:t>
            </w:r>
            <w:r>
              <w:rPr>
                <w:b/>
                <w:sz w:val="24"/>
                <w:szCs w:val="24"/>
              </w:rPr>
              <w:t>-</w:t>
            </w:r>
            <w:r>
              <w:rPr>
                <w:rFonts w:hint="eastAsia"/>
                <w:b/>
                <w:sz w:val="24"/>
                <w:szCs w:val="24"/>
                <w:lang w:val="en-US" w:eastAsia="zh-CN"/>
              </w:rPr>
              <w:t>2</w:t>
            </w:r>
            <w:r>
              <w:rPr>
                <w:b/>
                <w:sz w:val="24"/>
                <w:szCs w:val="24"/>
              </w:rPr>
              <w:t xml:space="preserve"> 生产工艺流程图</w:t>
            </w:r>
            <w:r>
              <w:rPr>
                <w:b/>
                <w:bCs/>
                <w:kern w:val="0"/>
                <w:sz w:val="24"/>
                <w:szCs w:val="24"/>
              </w:rPr>
              <w:t>工艺流程说明：</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eastAsia="宋体"/>
                <w:b/>
                <w:bCs/>
                <w:sz w:val="24"/>
                <w:szCs w:val="24"/>
                <w:lang w:eastAsia="zh-CN"/>
              </w:rPr>
            </w:pPr>
            <w:r>
              <w:rPr>
                <w:b/>
                <w:bCs/>
                <w:sz w:val="24"/>
                <w:szCs w:val="24"/>
              </w:rPr>
              <w:t>主要污染工序</w:t>
            </w:r>
            <w:r>
              <w:rPr>
                <w:rFonts w:hint="eastAsia"/>
                <w:b/>
                <w:bCs/>
                <w:sz w:val="24"/>
                <w:szCs w:val="24"/>
                <w:lang w:eastAsia="zh-CN"/>
              </w:rPr>
              <w:t>：</w:t>
            </w:r>
          </w:p>
          <w:p>
            <w:pPr>
              <w:keepNext w:val="0"/>
              <w:keepLines w:val="0"/>
              <w:pageBreakBefore w:val="0"/>
              <w:suppressLineNumbers w:val="0"/>
              <w:tabs>
                <w:tab w:val="left" w:pos="3402"/>
              </w:tabs>
              <w:kinsoku/>
              <w:wordWrap/>
              <w:overflowPunct/>
              <w:topLinePunct w:val="0"/>
              <w:autoSpaceDE w:val="0"/>
              <w:autoSpaceDN w:val="0"/>
              <w:bidi w:val="0"/>
              <w:adjustRightInd/>
              <w:snapToGrid/>
              <w:spacing w:before="0" w:beforeAutospacing="0" w:after="0" w:afterAutospacing="0" w:line="360" w:lineRule="auto"/>
              <w:ind w:left="0" w:right="0" w:firstLine="480" w:firstLineChars="200"/>
              <w:textAlignment w:val="auto"/>
              <w:rPr>
                <w:sz w:val="24"/>
                <w:szCs w:val="24"/>
              </w:rPr>
            </w:pPr>
            <w:r>
              <w:rPr>
                <w:sz w:val="24"/>
                <w:szCs w:val="24"/>
              </w:rPr>
              <w:t>废水：</w:t>
            </w:r>
            <w:r>
              <w:rPr>
                <w:bCs/>
                <w:sz w:val="24"/>
                <w:szCs w:val="24"/>
              </w:rPr>
              <w:t>本项目废水主要为生活污水</w:t>
            </w:r>
            <w:r>
              <w:rPr>
                <w:rFonts w:hint="eastAsia"/>
                <w:bCs/>
                <w:sz w:val="24"/>
                <w:szCs w:val="24"/>
                <w:lang w:val="en-US" w:eastAsia="zh-CN"/>
              </w:rPr>
              <w:t>、设备冷却废水、车辆冲洗水、场地冲洗水</w:t>
            </w:r>
            <w:r>
              <w:rPr>
                <w:bCs/>
                <w:sz w:val="24"/>
                <w:szCs w:val="24"/>
              </w:rPr>
              <w:t>。</w:t>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sz w:val="24"/>
                <w:szCs w:val="24"/>
              </w:rPr>
            </w:pPr>
            <w:r>
              <w:rPr>
                <w:sz w:val="24"/>
                <w:szCs w:val="24"/>
              </w:rPr>
              <w:t>废气：本项</w:t>
            </w:r>
            <w:r>
              <w:rPr>
                <w:rFonts w:hint="eastAsia"/>
                <w:bCs/>
                <w:sz w:val="24"/>
                <w:szCs w:val="24"/>
                <w:lang w:val="en-US" w:eastAsia="zh-CN"/>
              </w:rPr>
              <w:t>目基本无废气产生，切割、打磨、整修均采用湿法工艺，基本无粉尘产生。</w:t>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sz w:val="24"/>
                <w:szCs w:val="24"/>
              </w:rPr>
            </w:pPr>
            <w:r>
              <w:rPr>
                <w:sz w:val="24"/>
                <w:szCs w:val="24"/>
              </w:rPr>
              <w:t>噪声：本项目噪声主要来自于设备运行的噪声。</w:t>
            </w:r>
          </w:p>
          <w:p>
            <w:pPr>
              <w:keepNext w:val="0"/>
              <w:keepLines w:val="0"/>
              <w:widowControl/>
              <w:suppressLineNumbers w:val="0"/>
              <w:spacing w:before="0" w:beforeAutospacing="0" w:after="0" w:afterAutospacing="0" w:line="360" w:lineRule="auto"/>
              <w:ind w:left="0" w:right="0" w:firstLine="480" w:firstLineChars="200"/>
              <w:jc w:val="left"/>
              <w:rPr>
                <w:sz w:val="24"/>
                <w:szCs w:val="24"/>
              </w:rPr>
            </w:pPr>
            <w:r>
              <w:rPr>
                <w:sz w:val="24"/>
                <w:szCs w:val="24"/>
              </w:rPr>
              <w:t>固废：本项</w:t>
            </w:r>
            <w:r>
              <w:rPr>
                <w:rFonts w:hint="eastAsia" w:ascii="Times New Roman" w:hAnsi="Times New Roman" w:eastAsia="宋体" w:cs="Times New Roman"/>
                <w:sz w:val="24"/>
                <w:szCs w:val="24"/>
                <w:lang w:val="en-US" w:eastAsia="zh-CN"/>
              </w:rPr>
              <w:t>目固废主要为</w:t>
            </w:r>
            <w:r>
              <w:rPr>
                <w:rFonts w:hint="eastAsia"/>
                <w:bCs/>
                <w:snapToGrid w:val="0"/>
                <w:kern w:val="24"/>
                <w:sz w:val="24"/>
                <w:szCs w:val="24"/>
                <w:lang w:val="en-US" w:eastAsia="zh-CN"/>
              </w:rPr>
              <w:t>边角料</w:t>
            </w:r>
            <w:r>
              <w:rPr>
                <w:rFonts w:hint="eastAsia"/>
                <w:bCs/>
                <w:snapToGrid w:val="0"/>
                <w:kern w:val="24"/>
                <w:sz w:val="24"/>
                <w:szCs w:val="24"/>
                <w:lang w:eastAsia="zh-CN"/>
              </w:rPr>
              <w:t>、</w:t>
            </w:r>
            <w:r>
              <w:rPr>
                <w:rFonts w:hint="eastAsia"/>
                <w:bCs/>
                <w:snapToGrid w:val="0"/>
                <w:kern w:val="24"/>
                <w:sz w:val="24"/>
                <w:szCs w:val="24"/>
                <w:lang w:val="en-US" w:eastAsia="zh-CN"/>
              </w:rPr>
              <w:t>沉淀池沉渣、</w:t>
            </w:r>
            <w:r>
              <w:rPr>
                <w:rFonts w:hint="eastAsia" w:cs="Times New Roman"/>
                <w:color w:val="000000" w:themeColor="text1"/>
                <w:sz w:val="24"/>
                <w:szCs w:val="24"/>
                <w:lang w:val="en-US" w:eastAsia="zh-CN"/>
                <w14:textFill>
                  <w14:solidFill>
                    <w14:schemeClr w14:val="tx1"/>
                  </w14:solidFill>
                </w14:textFill>
              </w:rPr>
              <w:t>废钨钢切割刀头</w:t>
            </w:r>
            <w:r>
              <w:rPr>
                <w:rFonts w:hint="eastAsia" w:ascii="Times New Roman" w:hAnsi="Times New Roman" w:eastAsia="宋体" w:cs="Times New Roman"/>
                <w:sz w:val="24"/>
                <w:szCs w:val="24"/>
                <w:lang w:val="en-US" w:eastAsia="zh-CN"/>
              </w:rPr>
              <w:t>和生活垃圾。</w:t>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b/>
                <w:sz w:val="24"/>
                <w:szCs w:val="24"/>
              </w:rPr>
            </w:pPr>
            <w:r>
              <w:rPr>
                <w:b/>
                <w:sz w:val="24"/>
                <w:szCs w:val="24"/>
              </w:rPr>
              <w:t>项目变动情况：</w:t>
            </w:r>
          </w:p>
          <w:p>
            <w:pPr>
              <w:keepNext w:val="0"/>
              <w:keepLines w:val="0"/>
              <w:suppressLineNumbers w:val="0"/>
              <w:spacing w:before="0" w:beforeAutospacing="0" w:after="0" w:afterAutospacing="0" w:line="360" w:lineRule="auto"/>
              <w:ind w:left="0" w:right="0" w:firstLine="480" w:firstLineChars="200"/>
              <w:jc w:val="left"/>
              <w:rPr>
                <w:rFonts w:hint="default"/>
                <w:lang w:val="en-US" w:eastAsia="zh-CN"/>
              </w:rPr>
            </w:pPr>
            <w:r>
              <w:rPr>
                <w:rFonts w:hint="eastAsia"/>
                <w:kern w:val="0"/>
                <w:sz w:val="24"/>
                <w:szCs w:val="20"/>
              </w:rPr>
              <w:t>根据环评及现场调查，</w:t>
            </w:r>
            <w:r>
              <w:rPr>
                <w:rFonts w:hint="eastAsia"/>
                <w:kern w:val="0"/>
                <w:sz w:val="24"/>
                <w:szCs w:val="20"/>
                <w:lang w:val="en-US" w:eastAsia="zh-CN"/>
              </w:rPr>
              <w:t>工程建设内容及加工能力与项目《环境影响报告表》及其批复基本一致。但对照环评生产设备及污染治理有所调整：</w:t>
            </w:r>
            <w:r>
              <w:rPr>
                <w:rFonts w:hint="default"/>
                <w:kern w:val="0"/>
                <w:sz w:val="24"/>
                <w:szCs w:val="20"/>
                <w:lang w:val="en-US" w:eastAsia="zh-CN"/>
              </w:rPr>
              <w:t>1</w:t>
            </w:r>
            <w:r>
              <w:rPr>
                <w:rFonts w:hint="eastAsia"/>
                <w:kern w:val="0"/>
                <w:sz w:val="24"/>
                <w:szCs w:val="20"/>
                <w:lang w:val="en-US" w:eastAsia="zh-CN"/>
              </w:rPr>
              <w:t>、生产设备变化，原有的电脑雕刻机和稳定层搅拌站淘汰，其余设备不变。</w:t>
            </w:r>
            <w:r>
              <w:rPr>
                <w:rFonts w:hint="default"/>
                <w:kern w:val="0"/>
                <w:sz w:val="24"/>
                <w:szCs w:val="20"/>
                <w:lang w:val="en-US" w:eastAsia="zh-CN"/>
              </w:rPr>
              <w:t>2</w:t>
            </w:r>
            <w:r>
              <w:rPr>
                <w:rFonts w:hint="eastAsia"/>
                <w:kern w:val="0"/>
                <w:sz w:val="24"/>
                <w:szCs w:val="20"/>
                <w:lang w:val="en-US" w:eastAsia="zh-CN"/>
              </w:rPr>
              <w:t>、治理工程变化，原生活污水经过化粪池预处理后通过无动力生物滤池</w:t>
            </w:r>
            <w:r>
              <w:rPr>
                <w:rFonts w:hint="default"/>
                <w:kern w:val="0"/>
                <w:sz w:val="24"/>
                <w:szCs w:val="20"/>
                <w:lang w:val="en-US" w:eastAsia="zh-CN"/>
              </w:rPr>
              <w:t>-</w:t>
            </w:r>
            <w:r>
              <w:rPr>
                <w:rFonts w:hint="eastAsia"/>
                <w:kern w:val="0"/>
                <w:sz w:val="24"/>
                <w:szCs w:val="20"/>
                <w:lang w:val="en-US" w:eastAsia="zh-CN"/>
              </w:rPr>
              <w:t>人工湿地处理系统处理达标后全部进行回用于稳定层搅拌站，现生活污水经化粪池厌氧预处理后汇同雨水进入蓄水池，回用于公司矿区生态修复工程；原生产废水、车辆清洗水及场地清洗废水经三级沉淀、过滤处理后全部回用于稳定层搅拌站，现生产废水、车辆清洗水及场地清洗废水经三级沉淀、过滤处理后回用于切割、打磨、整修湿法除尘工艺。原环评中未提及钨钢刀头，实际切割过程中会产生废钨钢刀头，每年会产生约</w:t>
            </w:r>
            <w:r>
              <w:rPr>
                <w:rFonts w:hint="default"/>
                <w:kern w:val="0"/>
                <w:sz w:val="24"/>
                <w:szCs w:val="20"/>
                <w:lang w:val="en-US" w:eastAsia="zh-CN"/>
              </w:rPr>
              <w:t>280</w:t>
            </w:r>
            <w:r>
              <w:rPr>
                <w:rFonts w:hint="eastAsia"/>
                <w:kern w:val="0"/>
                <w:sz w:val="24"/>
                <w:szCs w:val="20"/>
                <w:lang w:val="en-US" w:eastAsia="zh-CN"/>
              </w:rPr>
              <w:t>个废钨钢刀头，全部外卖，综合利用；对照</w:t>
            </w:r>
            <w:r>
              <w:rPr>
                <w:rFonts w:hint="default"/>
                <w:kern w:val="0"/>
                <w:sz w:val="24"/>
                <w:szCs w:val="20"/>
                <w:lang w:val="en-US" w:eastAsia="zh-CN"/>
              </w:rPr>
              <w:fldChar w:fldCharType="begin"/>
            </w:r>
            <w:r>
              <w:rPr>
                <w:rFonts w:hint="default"/>
                <w:kern w:val="0"/>
                <w:sz w:val="24"/>
                <w:szCs w:val="20"/>
                <w:lang w:val="en-US" w:eastAsia="zh-CN"/>
              </w:rPr>
              <w:instrText xml:space="preserve"> HYPERLINK "https://www.so.com/link?m=bk1qpqWdGHg2mzSpZCh2h6K4IJ+0Znd4aTAxgWdIA/N8DIAL7+Ggaryw6VbiBeiKjEalCQVdFcMqOASZ4XjHfPSlrdXHCVvShMcqsLNpaRLx76yQzzfI0VGOsAO6V/LaNCpO/JfQv0FC0dsCrcoiWfBsiyydBB6Tba3j8z7TTXGPR5cPxAWGxUwQPQ3w1t4SVsJciMDkQeD7RCpOOjpGgCZHX0hWPboDi1JwwQLaFR+HvBZGoulUQOtgZB9rE276oTiazsHIhzbkiVfRiPKl/AvONlgPgdLJKtHK5ZoPCSi2A+kT6t8i1szG4VgsltiRJWPXcuwBU3KUTHfb+" \t "https://www.so.com/_blank" </w:instrText>
            </w:r>
            <w:r>
              <w:rPr>
                <w:rFonts w:hint="default"/>
                <w:kern w:val="0"/>
                <w:sz w:val="24"/>
                <w:szCs w:val="20"/>
                <w:lang w:val="en-US" w:eastAsia="zh-CN"/>
              </w:rPr>
              <w:fldChar w:fldCharType="separate"/>
            </w:r>
            <w:r>
              <w:rPr>
                <w:rFonts w:hint="eastAsia"/>
                <w:kern w:val="0"/>
                <w:sz w:val="24"/>
                <w:szCs w:val="20"/>
                <w:lang w:val="en-US" w:eastAsia="zh-CN"/>
              </w:rPr>
              <w:t>《污染影响类建设项目重大变动清单</w:t>
            </w:r>
            <w:r>
              <w:rPr>
                <w:rFonts w:hint="default"/>
                <w:kern w:val="0"/>
                <w:sz w:val="24"/>
                <w:szCs w:val="20"/>
                <w:lang w:val="en-US" w:eastAsia="zh-CN"/>
              </w:rPr>
              <w:t>(</w:t>
            </w:r>
            <w:r>
              <w:rPr>
                <w:rFonts w:hint="eastAsia"/>
                <w:kern w:val="0"/>
                <w:sz w:val="24"/>
                <w:szCs w:val="20"/>
                <w:lang w:val="en-US" w:eastAsia="zh-CN"/>
              </w:rPr>
              <w:t>试行</w:t>
            </w:r>
            <w:r>
              <w:rPr>
                <w:rFonts w:hint="default"/>
                <w:kern w:val="0"/>
                <w:sz w:val="24"/>
                <w:szCs w:val="20"/>
                <w:lang w:val="en-US" w:eastAsia="zh-CN"/>
              </w:rPr>
              <w:t>)</w:t>
            </w:r>
            <w:r>
              <w:rPr>
                <w:rFonts w:hint="eastAsia"/>
                <w:kern w:val="0"/>
                <w:sz w:val="24"/>
                <w:szCs w:val="20"/>
                <w:lang w:val="en-US" w:eastAsia="zh-CN"/>
              </w:rPr>
              <w:t>》</w:t>
            </w:r>
            <w:r>
              <w:rPr>
                <w:rFonts w:hint="default"/>
                <w:kern w:val="0"/>
                <w:sz w:val="24"/>
                <w:szCs w:val="20"/>
                <w:lang w:val="en-US" w:eastAsia="zh-CN"/>
              </w:rPr>
              <w:fldChar w:fldCharType="end"/>
            </w:r>
            <w:r>
              <w:rPr>
                <w:rFonts w:hint="eastAsia"/>
                <w:kern w:val="0"/>
                <w:sz w:val="24"/>
                <w:szCs w:val="20"/>
                <w:lang w:val="en-US" w:eastAsia="zh-CN"/>
              </w:rPr>
              <w:t>上述变化不属于重大变化。</w:t>
            </w:r>
          </w:p>
        </w:tc>
      </w:tr>
    </w:tbl>
    <w:p>
      <w:pPr>
        <w:pStyle w:val="3"/>
        <w:jc w:val="both"/>
        <w:rPr>
          <w:rFonts w:ascii="Times New Roman" w:hAnsi="Times New Roman"/>
          <w:b w:val="0"/>
          <w:szCs w:val="24"/>
        </w:rPr>
      </w:pPr>
      <w:r>
        <w:rPr>
          <w:rStyle w:val="26"/>
          <w:rFonts w:ascii="Times New Roman" w:hAnsi="Times New Roman"/>
          <w:b/>
          <w:bCs w:val="0"/>
        </w:rPr>
        <w:t xml:space="preserve">表三 </w:t>
      </w:r>
      <w:r>
        <w:rPr>
          <w:rFonts w:ascii="Times New Roman" w:hAnsi="Times New Roman"/>
          <w:b w:val="0"/>
          <w:szCs w:val="24"/>
        </w:rPr>
        <w:t xml:space="preserve"> </w:t>
      </w:r>
    </w:p>
    <w:tbl>
      <w:tblPr>
        <w:tblStyle w:val="21"/>
        <w:tblW w:w="94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4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04" w:hRule="atLeast"/>
          <w:jc w:val="center"/>
        </w:trPr>
        <w:tc>
          <w:tcPr>
            <w:tcW w:w="9429" w:type="dxa"/>
          </w:tcPr>
          <w:p>
            <w:pPr>
              <w:keepNext w:val="0"/>
              <w:keepLines w:val="0"/>
              <w:suppressLineNumbers w:val="0"/>
              <w:spacing w:before="0" w:beforeAutospacing="0" w:after="0" w:afterAutospacing="0" w:line="360" w:lineRule="auto"/>
              <w:ind w:left="0" w:right="0"/>
              <w:rPr>
                <w:kern w:val="0"/>
                <w:sz w:val="24"/>
                <w:szCs w:val="20"/>
              </w:rPr>
            </w:pPr>
            <w:r>
              <w:rPr>
                <w:b/>
                <w:bCs/>
                <w:spacing w:val="-17"/>
                <w:kern w:val="0"/>
                <w:sz w:val="24"/>
                <w:szCs w:val="20"/>
              </w:rPr>
              <w:t>主要污染源、污染物处理和排放：</w:t>
            </w:r>
          </w:p>
          <w:p>
            <w:pPr>
              <w:keepNext w:val="0"/>
              <w:keepLines w:val="0"/>
              <w:suppressLineNumbers w:val="0"/>
              <w:spacing w:before="0" w:beforeAutospacing="0" w:after="0" w:afterAutospacing="0" w:line="360" w:lineRule="auto"/>
              <w:ind w:left="0" w:right="0" w:firstLine="480" w:firstLineChars="200"/>
              <w:rPr>
                <w:kern w:val="0"/>
                <w:sz w:val="24"/>
                <w:szCs w:val="20"/>
              </w:rPr>
            </w:pPr>
            <w:r>
              <w:rPr>
                <w:kern w:val="0"/>
                <w:sz w:val="24"/>
                <w:szCs w:val="20"/>
              </w:rPr>
              <w:t>1、废水</w:t>
            </w:r>
          </w:p>
          <w:p>
            <w:pPr>
              <w:keepNext w:val="0"/>
              <w:keepLines w:val="0"/>
              <w:suppressLineNumbers w:val="0"/>
              <w:spacing w:before="0" w:beforeAutospacing="0" w:after="0" w:afterAutospacing="0" w:line="360" w:lineRule="auto"/>
              <w:ind w:left="0" w:right="0" w:firstLine="480" w:firstLineChars="200"/>
              <w:rPr>
                <w:rFonts w:hint="eastAsia"/>
                <w:kern w:val="0"/>
                <w:sz w:val="24"/>
                <w:szCs w:val="20"/>
                <w:lang w:eastAsia="zh-CN"/>
              </w:rPr>
            </w:pPr>
            <w:r>
              <w:rPr>
                <w:rFonts w:hint="eastAsia"/>
                <w:kern w:val="0"/>
                <w:sz w:val="24"/>
                <w:szCs w:val="20"/>
              </w:rPr>
              <w:t>本项目</w:t>
            </w:r>
            <w:r>
              <w:rPr>
                <w:rFonts w:hint="eastAsia" w:ascii="Times New Roman" w:hAnsi="Arial" w:eastAsia="宋体" w:cs="Arial"/>
                <w:sz w:val="24"/>
                <w:szCs w:val="20"/>
                <w:lang w:val="en-US" w:eastAsia="zh-CN" w:bidi="ar"/>
              </w:rPr>
              <w:t>生活污水经化粪池</w:t>
            </w:r>
            <w:r>
              <w:rPr>
                <w:rFonts w:hint="eastAsia" w:hAnsi="Arial" w:cs="Arial"/>
                <w:sz w:val="24"/>
                <w:szCs w:val="20"/>
                <w:lang w:val="en-US" w:eastAsia="zh-CN" w:bidi="ar"/>
              </w:rPr>
              <w:t>厌氧</w:t>
            </w:r>
            <w:r>
              <w:rPr>
                <w:rFonts w:hint="eastAsia" w:ascii="Times New Roman" w:hAnsi="Arial" w:eastAsia="宋体" w:cs="Arial"/>
                <w:sz w:val="24"/>
                <w:szCs w:val="20"/>
                <w:lang w:val="en-US" w:eastAsia="zh-CN" w:bidi="ar"/>
              </w:rPr>
              <w:t>预处理后</w:t>
            </w:r>
            <w:r>
              <w:rPr>
                <w:rFonts w:hint="eastAsia" w:hAnsi="Arial" w:cs="Arial"/>
                <w:sz w:val="24"/>
                <w:szCs w:val="20"/>
                <w:lang w:val="en-US" w:eastAsia="zh-CN" w:bidi="ar"/>
              </w:rPr>
              <w:t>汇同雨水进入蓄水池，回用于公司矿区生态修复工程，不外排，蓄水池容量为1.2万立方米，足够容纳生活污水及雨水</w:t>
            </w:r>
            <w:r>
              <w:rPr>
                <w:rFonts w:hint="eastAsia"/>
                <w:kern w:val="0"/>
                <w:sz w:val="24"/>
                <w:szCs w:val="20"/>
              </w:rPr>
              <w:t>；生产废水</w:t>
            </w:r>
            <w:r>
              <w:rPr>
                <w:rFonts w:hint="eastAsia"/>
                <w:kern w:val="0"/>
                <w:sz w:val="24"/>
                <w:szCs w:val="20"/>
                <w:lang w:eastAsia="zh-CN"/>
              </w:rPr>
              <w:t>、车辆冲洗废水及场地清洗废水</w:t>
            </w:r>
            <w:r>
              <w:rPr>
                <w:rFonts w:hint="eastAsia"/>
                <w:kern w:val="0"/>
                <w:sz w:val="24"/>
                <w:szCs w:val="20"/>
              </w:rPr>
              <w:t>经三级沉淀、过滤处理后回用于</w:t>
            </w:r>
            <w:r>
              <w:rPr>
                <w:rFonts w:hint="eastAsia"/>
                <w:kern w:val="0"/>
                <w:sz w:val="24"/>
                <w:szCs w:val="20"/>
                <w:lang w:eastAsia="zh-CN"/>
              </w:rPr>
              <w:t>切割、打磨、整修湿法除尘工艺，不外排</w:t>
            </w:r>
            <w:r>
              <w:rPr>
                <w:rFonts w:hint="eastAsia"/>
                <w:kern w:val="0"/>
                <w:sz w:val="24"/>
                <w:szCs w:val="20"/>
              </w:rPr>
              <w:t>。对周边环境基本无影响</w:t>
            </w:r>
            <w:r>
              <w:rPr>
                <w:rFonts w:hint="eastAsia"/>
                <w:kern w:val="0"/>
                <w:sz w:val="24"/>
                <w:szCs w:val="20"/>
                <w:lang w:eastAsia="zh-CN"/>
              </w:rPr>
              <w:t>。</w:t>
            </w:r>
          </w:p>
          <w:p>
            <w:pPr>
              <w:keepNext w:val="0"/>
              <w:keepLines w:val="0"/>
              <w:suppressLineNumbers w:val="0"/>
              <w:spacing w:before="0" w:beforeAutospacing="0" w:after="0" w:afterAutospacing="0" w:line="360" w:lineRule="auto"/>
              <w:ind w:left="0" w:right="0" w:firstLine="480" w:firstLineChars="200"/>
              <w:rPr>
                <w:kern w:val="0"/>
                <w:sz w:val="24"/>
                <w:szCs w:val="20"/>
              </w:rPr>
            </w:pPr>
            <w:r>
              <w:rPr>
                <w:kern w:val="0"/>
                <w:sz w:val="24"/>
                <w:szCs w:val="20"/>
              </w:rPr>
              <w:t>2、废气</w:t>
            </w:r>
          </w:p>
          <w:p>
            <w:pPr>
              <w:keepNext w:val="0"/>
              <w:keepLines w:val="0"/>
              <w:suppressLineNumbers w:val="0"/>
              <w:spacing w:before="0" w:beforeAutospacing="0" w:after="0" w:afterAutospacing="0" w:line="360" w:lineRule="auto"/>
              <w:ind w:left="0" w:right="0" w:firstLine="480" w:firstLineChars="200"/>
              <w:rPr>
                <w:kern w:val="0"/>
                <w:sz w:val="28"/>
                <w:szCs w:val="20"/>
              </w:rPr>
            </w:pPr>
            <w:r>
              <w:rPr>
                <w:kern w:val="0"/>
                <w:sz w:val="24"/>
                <w:szCs w:val="20"/>
              </w:rPr>
              <w:t>本项目主要废气污染源、污染物及排放情况见表3</w:t>
            </w:r>
            <w:r>
              <w:rPr>
                <w:color w:val="000000"/>
                <w:kern w:val="0"/>
                <w:sz w:val="24"/>
                <w:szCs w:val="24"/>
                <w:lang w:bidi="zh-CN"/>
              </w:rPr>
              <w:t>-</w:t>
            </w:r>
            <w:r>
              <w:rPr>
                <w:rFonts w:hint="eastAsia"/>
                <w:color w:val="000000"/>
                <w:kern w:val="0"/>
                <w:sz w:val="24"/>
                <w:szCs w:val="24"/>
                <w:lang w:val="en-US" w:bidi="zh-CN"/>
              </w:rPr>
              <w:t>1</w:t>
            </w:r>
            <w:r>
              <w:rPr>
                <w:kern w:val="0"/>
                <w:sz w:val="24"/>
                <w:szCs w:val="28"/>
              </w:rPr>
              <w:t>。</w:t>
            </w:r>
          </w:p>
          <w:p>
            <w:pPr>
              <w:keepNext w:val="0"/>
              <w:keepLines w:val="0"/>
              <w:suppressLineNumbers w:val="0"/>
              <w:spacing w:before="0" w:beforeAutospacing="0" w:after="0" w:afterAutospacing="0" w:line="360" w:lineRule="auto"/>
              <w:ind w:left="0" w:right="0"/>
              <w:jc w:val="center"/>
              <w:rPr>
                <w:b/>
                <w:bCs/>
                <w:kern w:val="0"/>
                <w:sz w:val="24"/>
                <w:szCs w:val="20"/>
              </w:rPr>
            </w:pPr>
            <w:r>
              <w:rPr>
                <w:b/>
                <w:bCs/>
                <w:kern w:val="0"/>
                <w:sz w:val="24"/>
                <w:szCs w:val="20"/>
              </w:rPr>
              <w:t>表3-</w:t>
            </w:r>
            <w:r>
              <w:rPr>
                <w:rFonts w:hint="eastAsia"/>
                <w:b/>
                <w:bCs/>
                <w:kern w:val="0"/>
                <w:sz w:val="24"/>
                <w:szCs w:val="20"/>
                <w:lang w:val="en-US" w:eastAsia="zh-CN"/>
              </w:rPr>
              <w:t>1</w:t>
            </w:r>
            <w:r>
              <w:rPr>
                <w:b/>
                <w:bCs/>
                <w:kern w:val="0"/>
                <w:sz w:val="24"/>
                <w:szCs w:val="20"/>
              </w:rPr>
              <w:t xml:space="preserve"> 废气污染源、污染物及排放情况</w:t>
            </w:r>
          </w:p>
          <w:tbl>
            <w:tblPr>
              <w:tblStyle w:val="20"/>
              <w:tblW w:w="920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1538"/>
              <w:gridCol w:w="3712"/>
              <w:gridCol w:w="1550"/>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308" w:type="dxa"/>
                  <w:tcMar>
                    <w:top w:w="28" w:type="dxa"/>
                    <w:left w:w="108" w:type="dxa"/>
                    <w:bottom w:w="28" w:type="dxa"/>
                    <w:right w:w="108" w:type="dxa"/>
                  </w:tcMar>
                  <w:vAlign w:val="center"/>
                </w:tcPr>
                <w:p>
                  <w:pPr>
                    <w:keepNext w:val="0"/>
                    <w:keepLines w:val="0"/>
                    <w:suppressLineNumbers w:val="0"/>
                    <w:spacing w:before="0" w:beforeAutospacing="0" w:after="0" w:afterAutospacing="0"/>
                    <w:ind w:left="0" w:right="0"/>
                    <w:jc w:val="center"/>
                    <w:rPr>
                      <w:b/>
                      <w:bCs w:val="0"/>
                      <w:szCs w:val="21"/>
                    </w:rPr>
                  </w:pPr>
                  <w:r>
                    <w:rPr>
                      <w:b/>
                      <w:bCs w:val="0"/>
                      <w:szCs w:val="21"/>
                    </w:rPr>
                    <w:t>污染源</w:t>
                  </w:r>
                </w:p>
              </w:tc>
              <w:tc>
                <w:tcPr>
                  <w:tcW w:w="1538" w:type="dxa"/>
                  <w:tcMar>
                    <w:top w:w="28" w:type="dxa"/>
                    <w:left w:w="108" w:type="dxa"/>
                    <w:bottom w:w="28" w:type="dxa"/>
                    <w:right w:w="108" w:type="dxa"/>
                  </w:tcMar>
                  <w:vAlign w:val="center"/>
                </w:tcPr>
                <w:p>
                  <w:pPr>
                    <w:keepNext w:val="0"/>
                    <w:keepLines w:val="0"/>
                    <w:suppressLineNumbers w:val="0"/>
                    <w:spacing w:before="0" w:beforeAutospacing="0" w:after="0" w:afterAutospacing="0"/>
                    <w:ind w:left="0" w:right="0"/>
                    <w:jc w:val="center"/>
                    <w:rPr>
                      <w:b/>
                      <w:bCs w:val="0"/>
                      <w:szCs w:val="21"/>
                    </w:rPr>
                  </w:pPr>
                  <w:r>
                    <w:rPr>
                      <w:b/>
                      <w:bCs w:val="0"/>
                      <w:color w:val="000000"/>
                      <w:szCs w:val="21"/>
                    </w:rPr>
                    <w:t>主要污染物</w:t>
                  </w:r>
                </w:p>
              </w:tc>
              <w:tc>
                <w:tcPr>
                  <w:tcW w:w="3712" w:type="dxa"/>
                  <w:vAlign w:val="center"/>
                </w:tcPr>
                <w:p>
                  <w:pPr>
                    <w:keepNext w:val="0"/>
                    <w:keepLines w:val="0"/>
                    <w:suppressLineNumbers w:val="0"/>
                    <w:spacing w:before="0" w:beforeAutospacing="0" w:after="0" w:afterAutospacing="0"/>
                    <w:ind w:left="0" w:right="0"/>
                    <w:jc w:val="center"/>
                    <w:rPr>
                      <w:b/>
                      <w:bCs w:val="0"/>
                      <w:szCs w:val="21"/>
                    </w:rPr>
                  </w:pPr>
                  <w:r>
                    <w:rPr>
                      <w:b/>
                      <w:bCs w:val="0"/>
                      <w:szCs w:val="21"/>
                    </w:rPr>
                    <w:t>环评要求处理方式</w:t>
                  </w:r>
                </w:p>
              </w:tc>
              <w:tc>
                <w:tcPr>
                  <w:tcW w:w="1550" w:type="dxa"/>
                  <w:tcMar>
                    <w:top w:w="28" w:type="dxa"/>
                    <w:left w:w="108" w:type="dxa"/>
                    <w:bottom w:w="28" w:type="dxa"/>
                    <w:right w:w="108" w:type="dxa"/>
                  </w:tcMar>
                  <w:vAlign w:val="center"/>
                </w:tcPr>
                <w:p>
                  <w:pPr>
                    <w:keepNext w:val="0"/>
                    <w:keepLines w:val="0"/>
                    <w:suppressLineNumbers w:val="0"/>
                    <w:spacing w:before="0" w:beforeAutospacing="0" w:after="0" w:afterAutospacing="0"/>
                    <w:ind w:left="0" w:right="0"/>
                    <w:jc w:val="center"/>
                    <w:rPr>
                      <w:b/>
                      <w:bCs w:val="0"/>
                      <w:szCs w:val="21"/>
                    </w:rPr>
                  </w:pPr>
                  <w:r>
                    <w:rPr>
                      <w:b/>
                      <w:bCs w:val="0"/>
                      <w:szCs w:val="21"/>
                    </w:rPr>
                    <w:t>实际处理方式</w:t>
                  </w:r>
                </w:p>
              </w:tc>
              <w:tc>
                <w:tcPr>
                  <w:tcW w:w="1095" w:type="dxa"/>
                  <w:tcMar>
                    <w:top w:w="28" w:type="dxa"/>
                    <w:left w:w="108" w:type="dxa"/>
                    <w:bottom w:w="28" w:type="dxa"/>
                    <w:right w:w="108" w:type="dxa"/>
                  </w:tcMar>
                  <w:vAlign w:val="center"/>
                </w:tcPr>
                <w:p>
                  <w:pPr>
                    <w:keepNext w:val="0"/>
                    <w:keepLines w:val="0"/>
                    <w:suppressLineNumbers w:val="0"/>
                    <w:spacing w:before="0" w:beforeAutospacing="0" w:after="0" w:afterAutospacing="0"/>
                    <w:ind w:left="0" w:right="0"/>
                    <w:jc w:val="center"/>
                    <w:rPr>
                      <w:b/>
                      <w:bCs w:val="0"/>
                      <w:szCs w:val="21"/>
                    </w:rPr>
                  </w:pPr>
                  <w:r>
                    <w:rPr>
                      <w:b/>
                      <w:bCs w:val="0"/>
                      <w:szCs w:val="21"/>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308" w:type="dxa"/>
                  <w:vAlign w:val="center"/>
                </w:tcPr>
                <w:p>
                  <w:pPr>
                    <w:pStyle w:val="44"/>
                    <w:keepNext w:val="0"/>
                    <w:keepLines w:val="0"/>
                    <w:suppressLineNumbers w:val="0"/>
                    <w:adjustRightInd/>
                    <w:spacing w:before="0" w:beforeAutospacing="0" w:afterAutospacing="0" w:line="240" w:lineRule="auto"/>
                    <w:ind w:left="0" w:right="0"/>
                    <w:textAlignment w:val="auto"/>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切割、</w:t>
                  </w:r>
                  <w:r>
                    <w:rPr>
                      <w:rFonts w:hint="eastAsia" w:ascii="Times New Roman" w:cs="Times New Roman"/>
                      <w:kern w:val="0"/>
                      <w:sz w:val="21"/>
                      <w:szCs w:val="21"/>
                      <w:lang w:val="en-US" w:eastAsia="zh-CN" w:bidi="ar-SA"/>
                    </w:rPr>
                    <w:t>磨光、整修</w:t>
                  </w:r>
                </w:p>
              </w:tc>
              <w:tc>
                <w:tcPr>
                  <w:tcW w:w="1538" w:type="dxa"/>
                  <w:vAlign w:val="center"/>
                </w:tcPr>
                <w:p>
                  <w:pPr>
                    <w:pStyle w:val="44"/>
                    <w:keepNext w:val="0"/>
                    <w:keepLines w:val="0"/>
                    <w:suppressLineNumbers w:val="0"/>
                    <w:adjustRightInd/>
                    <w:spacing w:before="0" w:beforeAutospacing="0" w:afterAutospacing="0" w:line="240" w:lineRule="auto"/>
                    <w:ind w:left="0" w:right="0"/>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颗粒物</w:t>
                  </w:r>
                </w:p>
              </w:tc>
              <w:tc>
                <w:tcPr>
                  <w:tcW w:w="3712" w:type="dxa"/>
                  <w:vAlign w:val="center"/>
                </w:tcPr>
                <w:p>
                  <w:pPr>
                    <w:pStyle w:val="12"/>
                    <w:keepNext w:val="0"/>
                    <w:keepLines w:val="0"/>
                    <w:suppressLineNumbers w:val="0"/>
                    <w:tabs>
                      <w:tab w:val="left" w:pos="1890"/>
                    </w:tabs>
                    <w:adjustRightIn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石材在切割、磨光、整修等过程中采用边喷淋边加工的湿法作业方式，产生粉尘较少，车间内安装排气扇以加强空气流通，使粉尘得到有效稀释、扩散，能够满足《大气污染物综合排放标准》（GB16297-1996）中无组织排放监控浓度限值，对周边环境基本无影响</w:t>
                  </w:r>
                  <w:r>
                    <w:rPr>
                      <w:rFonts w:hint="eastAsia" w:cs="Times New Roman"/>
                      <w:kern w:val="0"/>
                      <w:sz w:val="21"/>
                      <w:szCs w:val="21"/>
                      <w:lang w:val="en-US" w:eastAsia="zh-CN" w:bidi="ar-SA"/>
                    </w:rPr>
                    <w:t>。</w:t>
                  </w:r>
                </w:p>
              </w:tc>
              <w:tc>
                <w:tcPr>
                  <w:tcW w:w="1550" w:type="dxa"/>
                  <w:tcMar>
                    <w:top w:w="0" w:type="dxa"/>
                    <w:left w:w="57" w:type="dxa"/>
                    <w:bottom w:w="0" w:type="dxa"/>
                    <w:right w:w="57" w:type="dxa"/>
                  </w:tcMar>
                  <w:vAlign w:val="center"/>
                </w:tcPr>
                <w:p>
                  <w:pPr>
                    <w:pStyle w:val="12"/>
                    <w:keepNext w:val="0"/>
                    <w:keepLines w:val="0"/>
                    <w:suppressLineNumbers w:val="0"/>
                    <w:tabs>
                      <w:tab w:val="left" w:pos="1890"/>
                    </w:tabs>
                    <w:adjustRightInd/>
                    <w:spacing w:before="0" w:beforeAutospacing="0" w:after="0" w:afterAutospacing="0" w:line="240" w:lineRule="auto"/>
                    <w:ind w:left="0" w:right="0"/>
                    <w:jc w:val="center"/>
                    <w:textAlignment w:val="auto"/>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与环评一致</w:t>
                  </w:r>
                </w:p>
              </w:tc>
              <w:tc>
                <w:tcPr>
                  <w:tcW w:w="1095" w:type="dxa"/>
                  <w:vAlign w:val="center"/>
                </w:tcPr>
                <w:p>
                  <w:pPr>
                    <w:pStyle w:val="44"/>
                    <w:keepNext w:val="0"/>
                    <w:keepLines w:val="0"/>
                    <w:suppressLineNumbers w:val="0"/>
                    <w:adjustRightInd/>
                    <w:spacing w:before="0" w:beforeAutospacing="0" w:afterAutospacing="0" w:line="240" w:lineRule="auto"/>
                    <w:ind w:left="0" w:right="0"/>
                    <w:textAlignment w:val="auto"/>
                    <w:rPr>
                      <w:rFonts w:ascii="Times New Roman"/>
                      <w:kern w:val="2"/>
                      <w:sz w:val="21"/>
                      <w:szCs w:val="21"/>
                    </w:rPr>
                  </w:pPr>
                  <w:r>
                    <w:rPr>
                      <w:rFonts w:hint="eastAsia" w:ascii="Times New Roman"/>
                      <w:kern w:val="2"/>
                      <w:sz w:val="21"/>
                      <w:szCs w:val="21"/>
                      <w:lang w:val="en-US" w:eastAsia="zh-CN"/>
                    </w:rPr>
                    <w:t>无</w:t>
                  </w:r>
                  <w:r>
                    <w:rPr>
                      <w:rFonts w:ascii="Times New Roman"/>
                      <w:kern w:val="2"/>
                      <w:sz w:val="21"/>
                      <w:szCs w:val="21"/>
                    </w:rPr>
                    <w:t>组织</w:t>
                  </w:r>
                  <w:r>
                    <w:rPr>
                      <w:rFonts w:hint="eastAsia" w:ascii="Times New Roman"/>
                      <w:kern w:val="2"/>
                      <w:sz w:val="21"/>
                      <w:szCs w:val="21"/>
                      <w:lang w:eastAsia="zh-CN"/>
                    </w:rPr>
                    <w:t>基本无粉尘产生</w:t>
                  </w:r>
                  <w:r>
                    <w:rPr>
                      <w:rFonts w:ascii="Times New Roman"/>
                      <w:kern w:val="2"/>
                      <w:sz w:val="21"/>
                      <w:szCs w:val="21"/>
                    </w:rPr>
                    <w:t xml:space="preserve"> </w:t>
                  </w:r>
                </w:p>
              </w:tc>
            </w:tr>
          </w:tbl>
          <w:p>
            <w:pPr>
              <w:keepNext w:val="0"/>
              <w:keepLines w:val="0"/>
              <w:suppressLineNumbers w:val="0"/>
              <w:spacing w:before="0" w:beforeAutospacing="0" w:after="0" w:afterAutospacing="0" w:line="360" w:lineRule="auto"/>
              <w:ind w:left="0" w:right="0" w:firstLine="480" w:firstLineChars="200"/>
              <w:rPr>
                <w:kern w:val="0"/>
                <w:sz w:val="24"/>
                <w:szCs w:val="24"/>
              </w:rPr>
            </w:pPr>
            <w:r>
              <w:rPr>
                <w:kern w:val="0"/>
                <w:sz w:val="24"/>
                <w:szCs w:val="20"/>
              </w:rPr>
              <w:t>3、</w:t>
            </w:r>
            <w:r>
              <w:rPr>
                <w:kern w:val="0"/>
                <w:sz w:val="24"/>
                <w:szCs w:val="24"/>
              </w:rPr>
              <w:t>噪声</w:t>
            </w:r>
          </w:p>
          <w:p>
            <w:pPr>
              <w:keepNext w:val="0"/>
              <w:keepLines w:val="0"/>
              <w:suppressLineNumbers w:val="0"/>
              <w:spacing w:before="0" w:beforeAutospacing="0" w:after="0" w:afterAutospacing="0" w:line="360" w:lineRule="auto"/>
              <w:ind w:left="0" w:right="0" w:firstLine="480" w:firstLineChars="200"/>
              <w:rPr>
                <w:sz w:val="24"/>
              </w:rPr>
            </w:pPr>
            <w:bookmarkStart w:id="0" w:name="_Hlk36134427"/>
            <w:r>
              <w:rPr>
                <w:color w:val="000000"/>
                <w:sz w:val="24"/>
                <w:szCs w:val="24"/>
              </w:rPr>
              <w:t>项目环评噪声防治措施要求及落实情况</w:t>
            </w:r>
            <w:r>
              <w:rPr>
                <w:sz w:val="24"/>
                <w:szCs w:val="24"/>
              </w:rPr>
              <w:t>见表3-</w:t>
            </w:r>
            <w:r>
              <w:rPr>
                <w:rFonts w:hint="eastAsia"/>
                <w:sz w:val="24"/>
                <w:szCs w:val="24"/>
                <w:lang w:val="en-US" w:eastAsia="zh-CN"/>
              </w:rPr>
              <w:t>2</w:t>
            </w:r>
            <w:r>
              <w:rPr>
                <w:sz w:val="24"/>
                <w:szCs w:val="24"/>
              </w:rPr>
              <w:t>。</w:t>
            </w:r>
            <w:r>
              <w:rPr>
                <w:sz w:val="24"/>
              </w:rPr>
              <w:t xml:space="preserve"> </w:t>
            </w:r>
          </w:p>
          <w:p>
            <w:pPr>
              <w:keepNext w:val="0"/>
              <w:keepLines w:val="0"/>
              <w:suppressLineNumbers w:val="0"/>
              <w:spacing w:before="0" w:beforeAutospacing="0" w:after="0" w:afterAutospacing="0" w:line="360" w:lineRule="auto"/>
              <w:ind w:left="0" w:right="0" w:firstLine="482" w:firstLineChars="200"/>
              <w:jc w:val="center"/>
              <w:rPr>
                <w:b/>
                <w:bCs/>
                <w:sz w:val="24"/>
                <w:szCs w:val="24"/>
              </w:rPr>
            </w:pPr>
            <w:r>
              <w:rPr>
                <w:b/>
                <w:bCs/>
                <w:sz w:val="24"/>
                <w:szCs w:val="24"/>
              </w:rPr>
              <w:t>表3-</w:t>
            </w:r>
            <w:r>
              <w:rPr>
                <w:rFonts w:hint="eastAsia"/>
                <w:b/>
                <w:bCs/>
                <w:sz w:val="24"/>
                <w:szCs w:val="24"/>
                <w:lang w:val="en-US" w:eastAsia="zh-CN"/>
              </w:rPr>
              <w:t>2</w:t>
            </w:r>
            <w:r>
              <w:rPr>
                <w:b/>
                <w:bCs/>
                <w:sz w:val="24"/>
                <w:szCs w:val="24"/>
              </w:rPr>
              <w:t xml:space="preserve">  环评噪声防治措施及落实情况</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015"/>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5000" w:type="pct"/>
                  <w:gridSpan w:val="2"/>
                  <w:noWrap w:val="0"/>
                  <w:vAlign w:val="center"/>
                </w:tcPr>
                <w:p>
                  <w:pPr>
                    <w:pStyle w:val="49"/>
                    <w:keepNext w:val="0"/>
                    <w:keepLines w:val="0"/>
                    <w:widowControl w:val="0"/>
                    <w:suppressLineNumbers w:val="0"/>
                    <w:pBdr>
                      <w:left w:val="none" w:color="auto" w:sz="0" w:space="0"/>
                      <w:bottom w:val="none" w:color="auto" w:sz="0" w:space="0"/>
                      <w:right w:val="none" w:color="auto" w:sz="0" w:space="0"/>
                    </w:pBdr>
                    <w:spacing w:before="0" w:beforeAutospacing="0" w:after="0" w:afterAutospacing="0"/>
                    <w:ind w:left="0" w:right="0"/>
                    <w:rPr>
                      <w:rFonts w:ascii="Times New Roman" w:hAnsi="Times New Roman"/>
                      <w:b/>
                      <w:bCs/>
                      <w:color w:val="000000"/>
                    </w:rPr>
                  </w:pPr>
                  <w:r>
                    <w:rPr>
                      <w:rFonts w:ascii="Times New Roman" w:hAnsi="Times New Roman"/>
                      <w:b/>
                      <w:bCs/>
                      <w:color w:val="000000"/>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811" w:type="pct"/>
                  <w:noWrap w:val="0"/>
                  <w:vAlign w:val="center"/>
                </w:tcPr>
                <w:p>
                  <w:pPr>
                    <w:keepNext w:val="0"/>
                    <w:keepLines w:val="0"/>
                    <w:suppressLineNumbers w:val="0"/>
                    <w:spacing w:before="0" w:beforeAutospacing="0" w:after="0" w:afterAutospacing="0"/>
                    <w:ind w:left="0" w:right="0"/>
                    <w:jc w:val="center"/>
                  </w:pPr>
                  <w:r>
                    <w:rPr>
                      <w:b/>
                      <w:bCs/>
                      <w:color w:val="000000"/>
                      <w:szCs w:val="21"/>
                    </w:rPr>
                    <w:t>环评要求</w:t>
                  </w:r>
                </w:p>
              </w:tc>
              <w:tc>
                <w:tcPr>
                  <w:tcW w:w="1188" w:type="pct"/>
                  <w:noWrap w:val="0"/>
                  <w:vAlign w:val="center"/>
                </w:tcPr>
                <w:p>
                  <w:pPr>
                    <w:pStyle w:val="49"/>
                    <w:keepNext w:val="0"/>
                    <w:keepLines w:val="0"/>
                    <w:widowControl w:val="0"/>
                    <w:suppressLineNumbers w:val="0"/>
                    <w:pBdr>
                      <w:left w:val="none" w:color="auto" w:sz="0" w:space="0"/>
                      <w:bottom w:val="none" w:color="auto" w:sz="0" w:space="0"/>
                      <w:right w:val="none" w:color="auto" w:sz="0" w:space="0"/>
                    </w:pBdr>
                    <w:spacing w:before="0" w:beforeAutospacing="0" w:after="0" w:afterAutospacing="0"/>
                    <w:ind w:left="0" w:right="0"/>
                    <w:rPr>
                      <w:rFonts w:ascii="Times New Roman" w:hAnsi="Times New Roman"/>
                      <w:b/>
                      <w:bCs/>
                      <w:color w:val="000000"/>
                      <w:kern w:val="2"/>
                    </w:rPr>
                  </w:pPr>
                  <w:r>
                    <w:rPr>
                      <w:rFonts w:ascii="Times New Roman" w:hAnsi="Times New Roman"/>
                      <w:b/>
                      <w:bCs/>
                      <w:color w:val="000000"/>
                    </w:rPr>
                    <w:t>实际建设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0" w:hRule="atLeast"/>
                <w:jc w:val="center"/>
              </w:trPr>
              <w:tc>
                <w:tcPr>
                  <w:tcW w:w="3811" w:type="pct"/>
                  <w:vMerge w:val="restart"/>
                  <w:noWrap w:val="0"/>
                  <w:vAlign w:val="center"/>
                </w:tcPr>
                <w:p>
                  <w:pPr>
                    <w:pStyle w:val="2"/>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①</w:t>
                  </w:r>
                  <w:r>
                    <w:rPr>
                      <w:rFonts w:hint="eastAsia" w:ascii="Times New Roman" w:hAnsi="Times New Roman" w:eastAsia="宋体" w:cs="Times New Roman"/>
                      <w:color w:val="000000"/>
                      <w:kern w:val="2"/>
                      <w:sz w:val="21"/>
                      <w:szCs w:val="21"/>
                      <w:lang w:val="en-US" w:eastAsia="zh-CN" w:bidi="ar-SA"/>
                    </w:rPr>
                    <w:t>优化车间布局，将噪声大的设备安置场地中央；车间墙体加设隔声材料</w:t>
                  </w:r>
                  <w:r>
                    <w:rPr>
                      <w:rFonts w:hint="eastAsia" w:cs="Times New Roman"/>
                      <w:color w:val="000000"/>
                      <w:kern w:val="2"/>
                      <w:sz w:val="21"/>
                      <w:szCs w:val="21"/>
                      <w:lang w:val="en-US" w:eastAsia="zh-CN" w:bidi="ar-SA"/>
                    </w:rPr>
                    <w:t>；</w:t>
                  </w:r>
                </w:p>
                <w:p>
                  <w:pPr>
                    <w:pStyle w:val="2"/>
                    <w:keepNext w:val="0"/>
                    <w:keepLines w:val="0"/>
                    <w:suppressLineNumbers w:val="0"/>
                    <w:spacing w:before="0" w:beforeAutospacing="0" w:after="0" w:afterAutospacing="0" w:line="240" w:lineRule="auto"/>
                    <w:ind w:left="0" w:right="0"/>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②</w:t>
                  </w:r>
                  <w:r>
                    <w:rPr>
                      <w:rFonts w:hint="eastAsia" w:ascii="Times New Roman" w:hAnsi="Times New Roman" w:eastAsia="宋体" w:cs="Times New Roman"/>
                      <w:color w:val="000000"/>
                      <w:kern w:val="2"/>
                      <w:sz w:val="21"/>
                      <w:szCs w:val="21"/>
                      <w:lang w:val="en-US" w:eastAsia="zh-CN" w:bidi="ar-SA"/>
                    </w:rPr>
                    <w:t>对企业高噪声生产设备进行隔声降噪，在设备安装时，根据设备的自重及振动特性采用合适的钢筋混凝土台座或隔振垫，在切石机、磨光机等设备附近布设减震沟，高噪声设备加设围栏等隔声屏障，并推荐采用小室隔离降噪的措施</w:t>
                  </w:r>
                  <w:r>
                    <w:rPr>
                      <w:rFonts w:hint="eastAsia" w:cs="Times New Roman"/>
                      <w:color w:val="000000"/>
                      <w:kern w:val="2"/>
                      <w:sz w:val="21"/>
                      <w:szCs w:val="21"/>
                      <w:lang w:val="en-US" w:eastAsia="zh-CN" w:bidi="ar-SA"/>
                    </w:rPr>
                    <w:t>；</w:t>
                  </w:r>
                </w:p>
                <w:p>
                  <w:pPr>
                    <w:pStyle w:val="2"/>
                    <w:keepNext w:val="0"/>
                    <w:keepLines w:val="0"/>
                    <w:suppressLineNumbers w:val="0"/>
                    <w:spacing w:before="0" w:beforeAutospacing="0" w:after="0" w:afterAutospacing="0" w:line="240" w:lineRule="auto"/>
                    <w:ind w:left="0" w:leftChars="0" w:right="0" w:firstLine="420" w:firstLineChars="200"/>
                    <w:rPr>
                      <w:rFonts w:hint="eastAsia"/>
                      <w:color w:val="000000"/>
                      <w:szCs w:val="21"/>
                    </w:rPr>
                  </w:pPr>
                  <w:r>
                    <w:rPr>
                      <w:rFonts w:hint="default" w:ascii="Times New Roman" w:hAnsi="Times New Roman" w:eastAsia="宋体" w:cs="Times New Roman"/>
                      <w:color w:val="000000"/>
                      <w:kern w:val="2"/>
                      <w:sz w:val="21"/>
                      <w:szCs w:val="21"/>
                      <w:lang w:val="en-US" w:eastAsia="zh-CN" w:bidi="ar-SA"/>
                    </w:rPr>
                    <w:t>③</w:t>
                  </w:r>
                  <w:r>
                    <w:rPr>
                      <w:rFonts w:hint="eastAsia" w:ascii="Times New Roman" w:hAnsi="Times New Roman" w:eastAsia="宋体" w:cs="Times New Roman"/>
                      <w:color w:val="000000"/>
                      <w:kern w:val="2"/>
                      <w:sz w:val="21"/>
                      <w:szCs w:val="21"/>
                      <w:lang w:val="en-US" w:eastAsia="zh-CN" w:bidi="ar-SA"/>
                    </w:rPr>
                    <w:t>建立设备定期维护、保养的管理制度，以防止设备故障形成的非正常生产噪声；同时加强职工环保意识教育、提倡文明生产，防止设备不正常运行造成对环境噪声影响</w:t>
                  </w:r>
                  <w:r>
                    <w:rPr>
                      <w:rFonts w:hint="eastAsia" w:cs="Times New Roman"/>
                      <w:color w:val="000000"/>
                      <w:kern w:val="2"/>
                      <w:sz w:val="21"/>
                      <w:szCs w:val="21"/>
                      <w:lang w:val="en-US" w:eastAsia="zh-CN" w:bidi="ar-SA"/>
                    </w:rPr>
                    <w:t>。</w:t>
                  </w:r>
                </w:p>
              </w:tc>
              <w:tc>
                <w:tcPr>
                  <w:tcW w:w="1188" w:type="pct"/>
                  <w:vMerge w:val="restart"/>
                  <w:noWrap w:val="0"/>
                  <w:vAlign w:val="center"/>
                </w:tcPr>
                <w:p>
                  <w:pPr>
                    <w:keepNext w:val="0"/>
                    <w:keepLines w:val="0"/>
                    <w:suppressLineNumbers w:val="0"/>
                    <w:wordWrap w:val="0"/>
                    <w:spacing w:before="0" w:beforeAutospacing="0" w:after="0" w:afterAutospacing="0" w:line="0" w:lineRule="atLeast"/>
                    <w:ind w:left="0" w:right="0" w:firstLine="420" w:firstLineChars="200"/>
                    <w:rPr>
                      <w:rFonts w:hint="eastAsia" w:eastAsia="宋体"/>
                      <w:color w:val="000000"/>
                      <w:szCs w:val="21"/>
                      <w:lang w:eastAsia="zh-CN"/>
                    </w:rPr>
                  </w:pPr>
                  <w:r>
                    <w:rPr>
                      <w:rFonts w:hint="default" w:ascii="Times New Roman" w:hAnsi="Times New Roman" w:eastAsia="宋体" w:cs="Times New Roman"/>
                      <w:color w:val="000000"/>
                      <w:szCs w:val="21"/>
                    </w:rPr>
                    <w:t>企业已做好防震、减噪措施</w:t>
                  </w:r>
                  <w:r>
                    <w:rPr>
                      <w:rFonts w:hint="eastAsia" w:cs="Times New Roman"/>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3811" w:type="pct"/>
                  <w:vMerge w:val="continue"/>
                  <w:noWrap w:val="0"/>
                  <w:vAlign w:val="center"/>
                </w:tcPr>
                <w:p>
                  <w:pPr>
                    <w:pStyle w:val="2"/>
                    <w:keepNext w:val="0"/>
                    <w:keepLines w:val="0"/>
                    <w:suppressLineNumbers w:val="0"/>
                    <w:spacing w:before="0" w:beforeAutospacing="0" w:after="0" w:afterAutospacing="0"/>
                    <w:ind w:left="0" w:leftChars="0" w:right="0" w:firstLine="0" w:firstLineChars="0"/>
                    <w:rPr>
                      <w:color w:val="000000"/>
                      <w:szCs w:val="21"/>
                    </w:rPr>
                  </w:pPr>
                </w:p>
              </w:tc>
              <w:tc>
                <w:tcPr>
                  <w:tcW w:w="1188" w:type="pct"/>
                  <w:vMerge w:val="continue"/>
                  <w:noWrap w:val="0"/>
                  <w:vAlign w:val="center"/>
                </w:tcPr>
                <w:p>
                  <w:pPr>
                    <w:keepNext w:val="0"/>
                    <w:keepLines w:val="0"/>
                    <w:suppressLineNumbers w:val="0"/>
                    <w:wordWrap w:val="0"/>
                    <w:spacing w:before="0" w:beforeAutospacing="0" w:after="0" w:afterAutospacing="0" w:line="0" w:lineRule="atLeast"/>
                    <w:ind w:left="0" w:right="0" w:firstLine="420" w:firstLineChars="200"/>
                    <w:rPr>
                      <w:color w:val="000000"/>
                      <w:szCs w:val="21"/>
                    </w:rPr>
                  </w:pPr>
                </w:p>
              </w:tc>
            </w:tr>
            <w:bookmarkEnd w:id="0"/>
          </w:tbl>
          <w:p>
            <w:pPr>
              <w:keepNext w:val="0"/>
              <w:keepLines w:val="0"/>
              <w:suppressLineNumbers w:val="0"/>
              <w:spacing w:before="0" w:beforeAutospacing="0" w:after="0" w:afterAutospacing="0"/>
              <w:ind w:left="0" w:right="0"/>
              <w:jc w:val="center"/>
              <w:rPr>
                <w:kern w:val="0"/>
                <w:sz w:val="24"/>
                <w:szCs w:val="24"/>
              </w:rPr>
            </w:pPr>
          </w:p>
        </w:tc>
      </w:tr>
    </w:tbl>
    <w:p>
      <w:r>
        <w:rPr>
          <w:rStyle w:val="26"/>
          <w:rFonts w:hint="eastAsia" w:ascii="Times New Roman" w:hAnsi="Times New Roman"/>
          <w:b/>
          <w:bCs w:val="0"/>
          <w:lang w:val="en-US" w:eastAsia="zh-CN"/>
        </w:rPr>
        <w:t>续</w:t>
      </w:r>
      <w:r>
        <w:rPr>
          <w:rStyle w:val="26"/>
          <w:rFonts w:ascii="Times New Roman" w:hAnsi="Times New Roman"/>
          <w:b/>
          <w:bCs w:val="0"/>
        </w:rPr>
        <w:t>表三</w:t>
      </w:r>
    </w:p>
    <w:tbl>
      <w:tblPr>
        <w:tblStyle w:val="21"/>
        <w:tblW w:w="94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4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04" w:hRule="atLeast"/>
          <w:jc w:val="center"/>
        </w:trPr>
        <w:tc>
          <w:tcPr>
            <w:tcW w:w="9429" w:type="dxa"/>
          </w:tcPr>
          <w:p>
            <w:pPr>
              <w:keepNext w:val="0"/>
              <w:keepLines w:val="0"/>
              <w:suppressLineNumbers w:val="0"/>
              <w:spacing w:before="0" w:beforeAutospacing="0" w:after="0" w:afterAutospacing="0" w:line="360" w:lineRule="auto"/>
              <w:ind w:left="0" w:right="0" w:firstLine="480" w:firstLineChars="200"/>
              <w:rPr>
                <w:kern w:val="0"/>
                <w:sz w:val="24"/>
                <w:szCs w:val="20"/>
              </w:rPr>
            </w:pPr>
            <w:r>
              <w:rPr>
                <w:kern w:val="0"/>
                <w:sz w:val="24"/>
                <w:szCs w:val="20"/>
              </w:rPr>
              <w:t>4、固体废物</w:t>
            </w:r>
          </w:p>
          <w:p>
            <w:pPr>
              <w:keepNext w:val="0"/>
              <w:keepLines w:val="0"/>
              <w:suppressLineNumbers w:val="0"/>
              <w:spacing w:before="0" w:beforeAutospacing="0" w:after="0" w:afterAutospacing="0" w:line="360" w:lineRule="auto"/>
              <w:ind w:left="0" w:right="0" w:firstLine="480" w:firstLineChars="200"/>
              <w:rPr>
                <w:kern w:val="0"/>
                <w:sz w:val="24"/>
                <w:szCs w:val="28"/>
              </w:rPr>
            </w:pPr>
            <w:r>
              <w:rPr>
                <w:kern w:val="0"/>
                <w:sz w:val="24"/>
                <w:szCs w:val="28"/>
              </w:rPr>
              <w:t>本项目的固体废物主要来源产生及排放情况见表3</w:t>
            </w:r>
            <w:r>
              <w:rPr>
                <w:color w:val="000000"/>
                <w:kern w:val="0"/>
                <w:sz w:val="24"/>
                <w:szCs w:val="24"/>
                <w:lang w:bidi="zh-CN"/>
              </w:rPr>
              <w:t>-</w:t>
            </w:r>
            <w:r>
              <w:rPr>
                <w:rFonts w:hint="eastAsia"/>
                <w:color w:val="000000"/>
                <w:kern w:val="0"/>
                <w:sz w:val="24"/>
                <w:szCs w:val="24"/>
                <w:lang w:val="en-US" w:bidi="zh-CN"/>
              </w:rPr>
              <w:t>3</w:t>
            </w:r>
            <w:r>
              <w:rPr>
                <w:kern w:val="0"/>
                <w:sz w:val="24"/>
                <w:szCs w:val="28"/>
              </w:rPr>
              <w:t>。</w:t>
            </w:r>
          </w:p>
          <w:p>
            <w:pPr>
              <w:keepNext w:val="0"/>
              <w:keepLines w:val="0"/>
              <w:suppressLineNumbers w:val="0"/>
              <w:spacing w:before="0" w:beforeAutospacing="0" w:after="0" w:afterAutospacing="0" w:line="360" w:lineRule="auto"/>
              <w:ind w:left="0" w:right="0"/>
              <w:jc w:val="center"/>
              <w:rPr>
                <w:b/>
                <w:bCs/>
                <w:kern w:val="0"/>
                <w:sz w:val="24"/>
                <w:szCs w:val="28"/>
              </w:rPr>
            </w:pPr>
            <w:r>
              <w:rPr>
                <w:b/>
                <w:bCs/>
                <w:kern w:val="0"/>
                <w:sz w:val="24"/>
                <w:szCs w:val="28"/>
              </w:rPr>
              <w:t>表3-</w:t>
            </w:r>
            <w:r>
              <w:rPr>
                <w:rFonts w:hint="eastAsia"/>
                <w:b/>
                <w:bCs/>
                <w:kern w:val="0"/>
                <w:sz w:val="24"/>
                <w:szCs w:val="28"/>
                <w:lang w:val="en-US" w:eastAsia="zh-CN"/>
              </w:rPr>
              <w:t>3</w:t>
            </w:r>
            <w:r>
              <w:rPr>
                <w:b/>
                <w:bCs/>
                <w:kern w:val="0"/>
                <w:sz w:val="24"/>
                <w:szCs w:val="28"/>
              </w:rPr>
              <w:t xml:space="preserve"> 固体废弃物产生及排放情况</w:t>
            </w:r>
          </w:p>
          <w:tbl>
            <w:tblPr>
              <w:tblStyle w:val="2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1524"/>
              <w:gridCol w:w="1474"/>
              <w:gridCol w:w="1259"/>
              <w:gridCol w:w="1966"/>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2" w:type="pct"/>
                  <w:vAlign w:val="center"/>
                </w:tcPr>
                <w:p>
                  <w:pPr>
                    <w:keepNext w:val="0"/>
                    <w:keepLines w:val="0"/>
                    <w:suppressLineNumbers w:val="0"/>
                    <w:spacing w:before="0" w:beforeAutospacing="0" w:after="0" w:afterAutospacing="0"/>
                    <w:ind w:left="0" w:right="0"/>
                    <w:jc w:val="center"/>
                    <w:rPr>
                      <w:b/>
                      <w:bCs w:val="0"/>
                      <w:sz w:val="21"/>
                      <w:szCs w:val="21"/>
                    </w:rPr>
                  </w:pPr>
                  <w:r>
                    <w:rPr>
                      <w:b/>
                      <w:bCs w:val="0"/>
                      <w:sz w:val="21"/>
                      <w:szCs w:val="21"/>
                    </w:rPr>
                    <w:t>固体废物</w:t>
                  </w:r>
                </w:p>
                <w:p>
                  <w:pPr>
                    <w:keepNext w:val="0"/>
                    <w:keepLines w:val="0"/>
                    <w:suppressLineNumbers w:val="0"/>
                    <w:spacing w:before="0" w:beforeAutospacing="0" w:after="0" w:afterAutospacing="0"/>
                    <w:ind w:left="0" w:right="0"/>
                    <w:jc w:val="center"/>
                    <w:rPr>
                      <w:b/>
                      <w:bCs w:val="0"/>
                      <w:sz w:val="21"/>
                      <w:szCs w:val="21"/>
                    </w:rPr>
                  </w:pPr>
                  <w:r>
                    <w:rPr>
                      <w:b/>
                      <w:bCs w:val="0"/>
                      <w:sz w:val="21"/>
                      <w:szCs w:val="21"/>
                    </w:rPr>
                    <w:t>名称</w:t>
                  </w:r>
                </w:p>
              </w:tc>
              <w:tc>
                <w:tcPr>
                  <w:tcW w:w="828" w:type="pct"/>
                  <w:vAlign w:val="center"/>
                </w:tcPr>
                <w:p>
                  <w:pPr>
                    <w:keepNext w:val="0"/>
                    <w:keepLines w:val="0"/>
                    <w:suppressLineNumbers w:val="0"/>
                    <w:spacing w:before="0" w:beforeAutospacing="0" w:after="0" w:afterAutospacing="0"/>
                    <w:ind w:left="0" w:right="0"/>
                    <w:jc w:val="center"/>
                    <w:rPr>
                      <w:b/>
                      <w:bCs w:val="0"/>
                      <w:sz w:val="21"/>
                      <w:szCs w:val="21"/>
                    </w:rPr>
                  </w:pPr>
                  <w:r>
                    <w:rPr>
                      <w:b/>
                      <w:bCs w:val="0"/>
                      <w:sz w:val="21"/>
                      <w:szCs w:val="21"/>
                    </w:rPr>
                    <w:t>产生工序</w:t>
                  </w:r>
                </w:p>
              </w:tc>
              <w:tc>
                <w:tcPr>
                  <w:tcW w:w="801" w:type="pct"/>
                  <w:vAlign w:val="center"/>
                </w:tcPr>
                <w:p>
                  <w:pPr>
                    <w:keepNext w:val="0"/>
                    <w:keepLines w:val="0"/>
                    <w:suppressLineNumbers w:val="0"/>
                    <w:spacing w:before="0" w:beforeAutospacing="0" w:after="0" w:afterAutospacing="0"/>
                    <w:ind w:left="0" w:right="0"/>
                    <w:jc w:val="center"/>
                    <w:rPr>
                      <w:rFonts w:hint="default" w:eastAsia="宋体"/>
                      <w:b/>
                      <w:bCs w:val="0"/>
                      <w:sz w:val="21"/>
                      <w:szCs w:val="21"/>
                      <w:lang w:val="en-US" w:eastAsia="zh-CN"/>
                    </w:rPr>
                  </w:pPr>
                  <w:r>
                    <w:rPr>
                      <w:rFonts w:hint="eastAsia"/>
                      <w:b/>
                      <w:bCs w:val="0"/>
                      <w:sz w:val="21"/>
                      <w:szCs w:val="21"/>
                      <w:lang w:val="en-US" w:eastAsia="zh-CN"/>
                    </w:rPr>
                    <w:t>产生量（t/a）</w:t>
                  </w:r>
                </w:p>
              </w:tc>
              <w:tc>
                <w:tcPr>
                  <w:tcW w:w="684" w:type="pct"/>
                  <w:vAlign w:val="center"/>
                </w:tcPr>
                <w:p>
                  <w:pPr>
                    <w:keepNext w:val="0"/>
                    <w:keepLines w:val="0"/>
                    <w:suppressLineNumbers w:val="0"/>
                    <w:spacing w:before="0" w:beforeAutospacing="0" w:after="0" w:afterAutospacing="0"/>
                    <w:ind w:left="0" w:right="0"/>
                    <w:jc w:val="center"/>
                    <w:rPr>
                      <w:b/>
                      <w:bCs w:val="0"/>
                      <w:sz w:val="21"/>
                      <w:szCs w:val="21"/>
                    </w:rPr>
                  </w:pPr>
                  <w:r>
                    <w:rPr>
                      <w:b/>
                      <w:bCs w:val="0"/>
                      <w:sz w:val="21"/>
                      <w:szCs w:val="21"/>
                    </w:rPr>
                    <w:t>属性</w:t>
                  </w:r>
                </w:p>
              </w:tc>
              <w:tc>
                <w:tcPr>
                  <w:tcW w:w="1068" w:type="pct"/>
                  <w:vAlign w:val="center"/>
                </w:tcPr>
                <w:p>
                  <w:pPr>
                    <w:keepNext w:val="0"/>
                    <w:keepLines w:val="0"/>
                    <w:suppressLineNumbers w:val="0"/>
                    <w:spacing w:before="0" w:beforeAutospacing="0" w:after="0" w:afterAutospacing="0"/>
                    <w:ind w:left="0" w:right="0"/>
                    <w:jc w:val="center"/>
                    <w:rPr>
                      <w:b/>
                      <w:bCs w:val="0"/>
                      <w:sz w:val="21"/>
                      <w:szCs w:val="21"/>
                    </w:rPr>
                  </w:pPr>
                  <w:r>
                    <w:rPr>
                      <w:b/>
                      <w:bCs w:val="0"/>
                      <w:sz w:val="21"/>
                      <w:szCs w:val="21"/>
                    </w:rPr>
                    <w:t>环评要求处置方式</w:t>
                  </w:r>
                </w:p>
              </w:tc>
              <w:tc>
                <w:tcPr>
                  <w:tcW w:w="893" w:type="pct"/>
                  <w:vAlign w:val="center"/>
                </w:tcPr>
                <w:p>
                  <w:pPr>
                    <w:keepNext w:val="0"/>
                    <w:keepLines w:val="0"/>
                    <w:suppressLineNumbers w:val="0"/>
                    <w:spacing w:before="0" w:beforeAutospacing="0" w:after="0" w:afterAutospacing="0"/>
                    <w:ind w:left="0" w:right="0"/>
                    <w:jc w:val="center"/>
                    <w:rPr>
                      <w:b/>
                      <w:bCs w:val="0"/>
                      <w:sz w:val="21"/>
                      <w:szCs w:val="21"/>
                    </w:rPr>
                  </w:pPr>
                  <w:r>
                    <w:rPr>
                      <w:b/>
                      <w:bCs w:val="0"/>
                      <w:sz w:val="21"/>
                      <w:szCs w:val="21"/>
                    </w:rPr>
                    <w:t>实际处置方式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2"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边角料</w:t>
                  </w:r>
                </w:p>
              </w:tc>
              <w:tc>
                <w:tcPr>
                  <w:tcW w:w="828"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eastAsia" w:ascii="Times New Roman" w:hAnsi="Times New Roman" w:eastAsia="宋体" w:cs="Times New Roman"/>
                      <w:sz w:val="21"/>
                      <w:szCs w:val="21"/>
                      <w:lang w:val="en-US" w:eastAsia="zh-CN"/>
                    </w:rPr>
                  </w:pPr>
                  <w:r>
                    <w:rPr>
                      <w:rFonts w:hint="eastAsia" w:ascii="Times New Roman"/>
                      <w:sz w:val="21"/>
                    </w:rPr>
                    <w:t>切割、磨光</w:t>
                  </w:r>
                  <w:r>
                    <w:rPr>
                      <w:rFonts w:hint="eastAsia"/>
                      <w:lang w:eastAsia="zh-CN"/>
                    </w:rPr>
                    <w:t>、整修</w:t>
                  </w:r>
                </w:p>
              </w:tc>
              <w:tc>
                <w:tcPr>
                  <w:tcW w:w="801"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ascii="Times New Roman" w:hAnsi="Times New Roman" w:eastAsia="宋体" w:cs="Times New Roman"/>
                      <w:sz w:val="21"/>
                      <w:szCs w:val="21"/>
                      <w:lang w:val="en-US" w:eastAsia="zh-CN"/>
                    </w:rPr>
                  </w:pPr>
                  <w:r>
                    <w:rPr>
                      <w:rFonts w:hint="eastAsia" w:ascii="Times New Roman" w:cs="Arial"/>
                      <w:sz w:val="21"/>
                      <w:szCs w:val="21"/>
                    </w:rPr>
                    <w:t>11200</w:t>
                  </w:r>
                </w:p>
              </w:tc>
              <w:tc>
                <w:tcPr>
                  <w:tcW w:w="684" w:type="pc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一般固废</w:t>
                  </w:r>
                </w:p>
              </w:tc>
              <w:tc>
                <w:tcPr>
                  <w:tcW w:w="1068"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bCs/>
                      <w:sz w:val="21"/>
                      <w:szCs w:val="21"/>
                    </w:rPr>
                  </w:pPr>
                  <w:r>
                    <w:rPr>
                      <w:bCs/>
                      <w:sz w:val="21"/>
                      <w:szCs w:val="21"/>
                    </w:rPr>
                    <w:t>收集后外售综合利用</w:t>
                  </w:r>
                </w:p>
              </w:tc>
              <w:tc>
                <w:tcPr>
                  <w:tcW w:w="893" w:type="pct"/>
                  <w:vAlign w:val="center"/>
                </w:tcPr>
                <w:p>
                  <w:pPr>
                    <w:keepNext w:val="0"/>
                    <w:keepLines w:val="0"/>
                    <w:suppressLineNumbers w:val="0"/>
                    <w:spacing w:before="0" w:beforeAutospacing="0" w:after="0" w:afterAutospacing="0"/>
                    <w:ind w:left="0" w:right="0"/>
                    <w:jc w:val="center"/>
                    <w:rPr>
                      <w:rFonts w:hint="eastAsia" w:eastAsia="宋体"/>
                      <w:bCs/>
                      <w:sz w:val="21"/>
                      <w:szCs w:val="21"/>
                      <w:lang w:eastAsia="zh-CN"/>
                    </w:rPr>
                  </w:pPr>
                  <w:r>
                    <w:rPr>
                      <w:rFonts w:hint="eastAsia"/>
                      <w:bCs/>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2"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废钨钢刀头</w:t>
                  </w:r>
                </w:p>
              </w:tc>
              <w:tc>
                <w:tcPr>
                  <w:tcW w:w="828"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eastAsia" w:ascii="Times New Roman" w:eastAsia="宋体"/>
                      <w:sz w:val="21"/>
                      <w:lang w:eastAsia="zh-CN"/>
                    </w:rPr>
                  </w:pPr>
                  <w:r>
                    <w:rPr>
                      <w:rFonts w:hint="eastAsia"/>
                      <w:sz w:val="21"/>
                      <w:lang w:eastAsia="zh-CN"/>
                    </w:rPr>
                    <w:t>切割</w:t>
                  </w:r>
                </w:p>
              </w:tc>
              <w:tc>
                <w:tcPr>
                  <w:tcW w:w="801"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ascii="Times New Roman" w:eastAsia="宋体" w:cs="Arial"/>
                      <w:sz w:val="21"/>
                      <w:szCs w:val="21"/>
                      <w:lang w:val="en-US" w:eastAsia="zh-CN"/>
                    </w:rPr>
                  </w:pPr>
                  <w:r>
                    <w:rPr>
                      <w:rFonts w:hint="eastAsia" w:cs="Arial"/>
                      <w:sz w:val="21"/>
                      <w:szCs w:val="21"/>
                      <w:lang w:val="en-US" w:eastAsia="zh-CN"/>
                    </w:rPr>
                    <w:t>280个</w:t>
                  </w:r>
                </w:p>
              </w:tc>
              <w:tc>
                <w:tcPr>
                  <w:tcW w:w="684" w:type="pc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一般固废</w:t>
                  </w:r>
                </w:p>
              </w:tc>
              <w:tc>
                <w:tcPr>
                  <w:tcW w:w="1068"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eastAsia="宋体"/>
                      <w:bCs/>
                      <w:sz w:val="21"/>
                      <w:szCs w:val="21"/>
                      <w:lang w:val="en-US" w:eastAsia="zh-CN"/>
                    </w:rPr>
                  </w:pPr>
                  <w:r>
                    <w:rPr>
                      <w:rFonts w:hint="eastAsia"/>
                      <w:bCs/>
                      <w:sz w:val="21"/>
                      <w:szCs w:val="21"/>
                      <w:lang w:eastAsia="zh-CN"/>
                    </w:rPr>
                    <w:t>环评中未提及</w:t>
                  </w:r>
                </w:p>
              </w:tc>
              <w:tc>
                <w:tcPr>
                  <w:tcW w:w="893" w:type="pct"/>
                  <w:vAlign w:val="center"/>
                </w:tcPr>
                <w:p>
                  <w:pPr>
                    <w:keepNext w:val="0"/>
                    <w:keepLines w:val="0"/>
                    <w:suppressLineNumbers w:val="0"/>
                    <w:spacing w:before="0" w:beforeAutospacing="0" w:after="0" w:afterAutospacing="0"/>
                    <w:ind w:left="0" w:right="0"/>
                    <w:jc w:val="center"/>
                    <w:rPr>
                      <w:rFonts w:hint="eastAsia"/>
                      <w:bCs/>
                      <w:sz w:val="21"/>
                      <w:szCs w:val="21"/>
                      <w:lang w:eastAsia="zh-CN"/>
                    </w:rPr>
                  </w:pPr>
                  <w:r>
                    <w:rPr>
                      <w:bCs/>
                      <w:sz w:val="21"/>
                      <w:szCs w:val="21"/>
                    </w:rPr>
                    <w:t>收集后外售综合利用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2"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沉淀池沉渣</w:t>
                  </w:r>
                </w:p>
              </w:tc>
              <w:tc>
                <w:tcPr>
                  <w:tcW w:w="828"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沉淀池</w:t>
                  </w:r>
                </w:p>
              </w:tc>
              <w:tc>
                <w:tcPr>
                  <w:tcW w:w="801"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ascii="Times New Roman" w:hAnsi="Times New Roman" w:eastAsia="宋体" w:cs="Times New Roman"/>
                      <w:sz w:val="21"/>
                      <w:szCs w:val="21"/>
                      <w:lang w:val="en-US" w:eastAsia="zh-CN"/>
                    </w:rPr>
                  </w:pPr>
                  <w:r>
                    <w:rPr>
                      <w:rFonts w:hint="eastAsia" w:ascii="Times New Roman" w:cs="Arial"/>
                      <w:sz w:val="21"/>
                      <w:szCs w:val="21"/>
                    </w:rPr>
                    <w:t>3.8</w:t>
                  </w:r>
                </w:p>
              </w:tc>
              <w:tc>
                <w:tcPr>
                  <w:tcW w:w="684" w:type="pc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cs="Times New Roman"/>
                      <w:sz w:val="21"/>
                      <w:szCs w:val="21"/>
                      <w:lang w:eastAsia="zh-CN"/>
                    </w:rPr>
                    <w:t>一半固废</w:t>
                  </w:r>
                </w:p>
              </w:tc>
              <w:tc>
                <w:tcPr>
                  <w:tcW w:w="1068" w:type="pct"/>
                  <w:tcMar>
                    <w:left w:w="113" w:type="dxa"/>
                    <w:right w:w="113" w:type="dxa"/>
                  </w:tcMar>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sz w:val="21"/>
                      <w:szCs w:val="21"/>
                    </w:rPr>
                  </w:pPr>
                  <w:r>
                    <w:rPr>
                      <w:bCs/>
                      <w:sz w:val="21"/>
                      <w:szCs w:val="21"/>
                    </w:rPr>
                    <w:t>收集后外售综合利</w:t>
                  </w:r>
                </w:p>
              </w:tc>
              <w:tc>
                <w:tcPr>
                  <w:tcW w:w="893" w:type="pct"/>
                  <w:vAlign w:val="center"/>
                </w:tcPr>
                <w:p>
                  <w:pPr>
                    <w:pStyle w:val="8"/>
                    <w:keepNext w:val="0"/>
                    <w:keepLines w:val="0"/>
                    <w:suppressLineNumbers w:val="0"/>
                    <w:spacing w:before="0" w:beforeAutospacing="0" w:after="0" w:afterAutospacing="0"/>
                    <w:ind w:left="0" w:right="0"/>
                    <w:rPr>
                      <w:sz w:val="21"/>
                      <w:szCs w:val="21"/>
                    </w:rPr>
                  </w:pPr>
                  <w:r>
                    <w:rPr>
                      <w:rFonts w:hint="eastAsia" w:ascii="Times New Roman" w:hAnsi="Times New Roman" w:eastAsia="宋体" w:cs="Times New Roman"/>
                      <w:bCs/>
                      <w:kern w:val="2"/>
                      <w:sz w:val="21"/>
                      <w:szCs w:val="21"/>
                      <w:lang w:val="en-US" w:eastAsia="zh-CN" w:bidi="ar-SA"/>
                    </w:rPr>
                    <w:t>收集后用于公司矿区矿山修复工程喷播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2"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生活垃圾</w:t>
                  </w:r>
                </w:p>
              </w:tc>
              <w:tc>
                <w:tcPr>
                  <w:tcW w:w="828"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ascii="Times New Roman" w:hAnsi="Times New Roman" w:eastAsia="宋体" w:cs="Times New Roman"/>
                      <w:sz w:val="21"/>
                      <w:szCs w:val="21"/>
                    </w:rPr>
                  </w:pPr>
                  <w:r>
                    <w:rPr>
                      <w:rFonts w:ascii="Times New Roman" w:hAnsi="Times New Roman" w:eastAsia="宋体" w:cs="Times New Roman"/>
                      <w:sz w:val="21"/>
                      <w:szCs w:val="21"/>
                    </w:rPr>
                    <w:t>员工生活</w:t>
                  </w:r>
                </w:p>
              </w:tc>
              <w:tc>
                <w:tcPr>
                  <w:tcW w:w="801"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w:t>
                  </w:r>
                </w:p>
              </w:tc>
              <w:tc>
                <w:tcPr>
                  <w:tcW w:w="684" w:type="pct"/>
                  <w:vAlign w:val="center"/>
                </w:tcPr>
                <w:p>
                  <w:pPr>
                    <w:keepNext w:val="0"/>
                    <w:keepLines w:val="0"/>
                    <w:suppressLineNumbers w:val="0"/>
                    <w:spacing w:before="0" w:beforeAutospacing="0" w:after="0" w:afterAutospacing="0"/>
                    <w:ind w:left="0" w:right="0"/>
                    <w:jc w:val="center"/>
                    <w:rPr>
                      <w:sz w:val="21"/>
                      <w:szCs w:val="21"/>
                    </w:rPr>
                  </w:pPr>
                </w:p>
              </w:tc>
              <w:tc>
                <w:tcPr>
                  <w:tcW w:w="1068" w:type="pct"/>
                  <w:tcMar>
                    <w:left w:w="113" w:type="dxa"/>
                    <w:right w:w="113" w:type="dxa"/>
                  </w:tcMar>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sz w:val="21"/>
                      <w:szCs w:val="21"/>
                    </w:rPr>
                  </w:pPr>
                  <w:r>
                    <w:rPr>
                      <w:sz w:val="21"/>
                      <w:szCs w:val="21"/>
                    </w:rPr>
                    <w:t>由环卫部门定期清运</w:t>
                  </w:r>
                </w:p>
              </w:tc>
              <w:tc>
                <w:tcPr>
                  <w:tcW w:w="893" w:type="pct"/>
                  <w:vAlign w:val="center"/>
                </w:tcPr>
                <w:p>
                  <w:pPr>
                    <w:keepNext w:val="0"/>
                    <w:keepLines w:val="0"/>
                    <w:suppressLineNumbers w:val="0"/>
                    <w:adjustRightInd w:val="0"/>
                    <w:snapToGrid w:val="0"/>
                    <w:spacing w:before="0" w:beforeAutospacing="0" w:after="0" w:afterAutospacing="0" w:line="320" w:lineRule="exact"/>
                    <w:ind w:left="-86" w:leftChars="-41" w:right="-53" w:rightChars="-25"/>
                    <w:jc w:val="center"/>
                    <w:rPr>
                      <w:sz w:val="21"/>
                      <w:szCs w:val="21"/>
                    </w:rPr>
                  </w:pPr>
                  <w:r>
                    <w:rPr>
                      <w:sz w:val="21"/>
                      <w:szCs w:val="21"/>
                    </w:rPr>
                    <w:t>由环卫部门定期清运</w:t>
                  </w:r>
                </w:p>
              </w:tc>
            </w:tr>
          </w:tbl>
          <w:p>
            <w:pPr>
              <w:keepNext w:val="0"/>
              <w:keepLines w:val="0"/>
              <w:suppressLineNumbers w:val="0"/>
              <w:adjustRightInd w:val="0"/>
              <w:snapToGrid w:val="0"/>
              <w:spacing w:before="0" w:beforeAutospacing="0" w:after="0" w:afterAutospacing="0" w:line="360" w:lineRule="auto"/>
              <w:ind w:left="0" w:right="0" w:firstLine="480" w:firstLineChars="200"/>
              <w:rPr>
                <w:kern w:val="0"/>
                <w:sz w:val="24"/>
                <w:szCs w:val="28"/>
              </w:rPr>
            </w:pPr>
            <w:r>
              <w:rPr>
                <w:kern w:val="0"/>
                <w:sz w:val="24"/>
                <w:szCs w:val="28"/>
              </w:rPr>
              <w:t>本项目废气、噪声采样</w:t>
            </w:r>
            <w:r>
              <w:rPr>
                <w:rFonts w:hint="eastAsia"/>
                <w:kern w:val="0"/>
                <w:sz w:val="24"/>
                <w:szCs w:val="28"/>
              </w:rPr>
              <w:t>监测</w:t>
            </w:r>
            <w:r>
              <w:rPr>
                <w:kern w:val="0"/>
                <w:sz w:val="24"/>
                <w:szCs w:val="28"/>
              </w:rPr>
              <w:t>点位置图见3-</w:t>
            </w:r>
            <w:r>
              <w:rPr>
                <w:rFonts w:hint="eastAsia"/>
                <w:kern w:val="0"/>
                <w:sz w:val="24"/>
                <w:szCs w:val="28"/>
                <w:lang w:val="en-US" w:eastAsia="zh-CN"/>
              </w:rPr>
              <w:t>1</w:t>
            </w:r>
            <w:r>
              <w:rPr>
                <w:rFonts w:hint="eastAsia"/>
                <w:kern w:val="0"/>
                <w:sz w:val="24"/>
                <w:szCs w:val="28"/>
              </w:rPr>
              <w:t>。</w:t>
            </w:r>
          </w:p>
          <w:p>
            <w:pPr>
              <w:keepNext w:val="0"/>
              <w:keepLines w:val="0"/>
              <w:suppressLineNumbers w:val="0"/>
              <w:adjustRightInd w:val="0"/>
              <w:snapToGrid w:val="0"/>
              <w:spacing w:before="0" w:beforeAutospacing="0" w:after="0" w:afterAutospacing="0" w:line="360" w:lineRule="auto"/>
              <w:ind w:left="0" w:right="0"/>
              <w:jc w:val="center"/>
              <w:rPr>
                <w:kern w:val="0"/>
                <w:sz w:val="20"/>
                <w:szCs w:val="20"/>
              </w:rPr>
            </w:pPr>
            <w:r>
              <w:drawing>
                <wp:inline distT="0" distB="0" distL="114300" distR="114300">
                  <wp:extent cx="5039360" cy="3227705"/>
                  <wp:effectExtent l="0" t="0" r="2540" b="10795"/>
                  <wp:docPr id="55" name="图片 2" descr="HJ222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 descr="HJ222293"/>
                          <pic:cNvPicPr>
                            <a:picLocks noChangeAspect="1"/>
                          </pic:cNvPicPr>
                        </pic:nvPicPr>
                        <pic:blipFill>
                          <a:blip r:embed="rId10"/>
                          <a:stretch>
                            <a:fillRect/>
                          </a:stretch>
                        </pic:blipFill>
                        <pic:spPr>
                          <a:xfrm>
                            <a:off x="0" y="0"/>
                            <a:ext cx="5039360" cy="3227705"/>
                          </a:xfrm>
                          <a:prstGeom prst="rect">
                            <a:avLst/>
                          </a:prstGeom>
                          <a:noFill/>
                          <a:ln>
                            <a:noFill/>
                          </a:ln>
                        </pic:spPr>
                      </pic:pic>
                    </a:graphicData>
                  </a:graphic>
                </wp:inline>
              </w:drawing>
            </w:r>
          </w:p>
          <w:p>
            <w:pPr>
              <w:keepNext w:val="0"/>
              <w:keepLines w:val="0"/>
              <w:suppressLineNumbers w:val="0"/>
              <w:adjustRightInd w:val="0"/>
              <w:snapToGrid w:val="0"/>
              <w:spacing w:before="0" w:beforeAutospacing="0" w:after="0" w:afterAutospacing="0" w:line="360" w:lineRule="auto"/>
              <w:ind w:left="0" w:right="0"/>
              <w:jc w:val="center"/>
              <w:rPr>
                <w:kern w:val="0"/>
                <w:sz w:val="21"/>
                <w:szCs w:val="21"/>
              </w:rPr>
            </w:pPr>
            <w:r>
              <w:rPr>
                <w:spacing w:val="-2"/>
                <w:kern w:val="0"/>
                <w:sz w:val="21"/>
                <w:szCs w:val="21"/>
              </w:rPr>
              <w:t>备注：</w:t>
            </w:r>
            <w:r>
              <w:rPr>
                <w:rFonts w:hint="eastAsia" w:ascii="宋体" w:hAnsi="宋体"/>
                <w:spacing w:val="-2"/>
                <w:kern w:val="0"/>
                <w:sz w:val="20"/>
                <w:szCs w:val="21"/>
              </w:rPr>
              <w:t>○-无组织废气采样点；▲-工业企业厂界噪声检测点</w:t>
            </w:r>
          </w:p>
          <w:p>
            <w:pPr>
              <w:keepNext w:val="0"/>
              <w:keepLines w:val="0"/>
              <w:suppressLineNumbers w:val="0"/>
              <w:spacing w:before="0" w:beforeAutospacing="0" w:after="0" w:afterAutospacing="0" w:line="360" w:lineRule="auto"/>
              <w:ind w:left="0" w:right="0"/>
              <w:jc w:val="center"/>
              <w:rPr>
                <w:b/>
                <w:bCs/>
                <w:kern w:val="0"/>
                <w:sz w:val="24"/>
                <w:szCs w:val="24"/>
              </w:rPr>
            </w:pPr>
            <w:r>
              <w:rPr>
                <w:b/>
                <w:bCs/>
                <w:kern w:val="0"/>
                <w:sz w:val="24"/>
                <w:szCs w:val="24"/>
              </w:rPr>
              <w:t>图3-</w:t>
            </w:r>
            <w:r>
              <w:rPr>
                <w:rFonts w:hint="eastAsia"/>
                <w:b/>
                <w:bCs/>
                <w:kern w:val="0"/>
                <w:sz w:val="24"/>
                <w:szCs w:val="24"/>
                <w:lang w:val="en-US" w:eastAsia="zh-CN"/>
              </w:rPr>
              <w:t>1</w:t>
            </w:r>
            <w:r>
              <w:rPr>
                <w:b/>
                <w:bCs/>
                <w:kern w:val="0"/>
                <w:sz w:val="24"/>
                <w:szCs w:val="24"/>
              </w:rPr>
              <w:t xml:space="preserve"> 废气、噪声监测采样点位分布图</w:t>
            </w:r>
          </w:p>
        </w:tc>
      </w:tr>
    </w:tbl>
    <w:p>
      <w:pPr>
        <w:adjustRightInd w:val="0"/>
        <w:snapToGrid w:val="0"/>
        <w:jc w:val="left"/>
        <w:rPr>
          <w:b/>
          <w:bCs/>
          <w:sz w:val="24"/>
          <w:szCs w:val="24"/>
        </w:rPr>
        <w:sectPr>
          <w:pgSz w:w="11906" w:h="16838"/>
          <w:pgMar w:top="1134" w:right="1417" w:bottom="1134" w:left="1417" w:header="851" w:footer="992" w:gutter="0"/>
          <w:pgBorders>
            <w:top w:val="none" w:sz="0" w:space="0"/>
            <w:left w:val="none" w:sz="0" w:space="0"/>
            <w:bottom w:val="none" w:sz="0" w:space="0"/>
            <w:right w:val="none" w:sz="0" w:space="0"/>
          </w:pgBorders>
          <w:cols w:space="720" w:num="1"/>
          <w:docGrid w:type="lines" w:linePitch="312" w:charSpace="0"/>
        </w:sectPr>
      </w:pPr>
    </w:p>
    <w:p>
      <w:pPr>
        <w:pStyle w:val="3"/>
        <w:jc w:val="both"/>
        <w:rPr>
          <w:rFonts w:ascii="Times New Roman" w:hAnsi="Times New Roman"/>
        </w:rPr>
      </w:pPr>
      <w:r>
        <w:rPr>
          <w:rFonts w:ascii="Times New Roman" w:hAnsi="Times New Roman"/>
        </w:rPr>
        <w:t>表四</w:t>
      </w:r>
    </w:p>
    <w:tbl>
      <w:tblPr>
        <w:tblStyle w:val="21"/>
        <w:tblW w:w="94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48" w:hRule="atLeast"/>
          <w:jc w:val="center"/>
        </w:trPr>
        <w:tc>
          <w:tcPr>
            <w:tcW w:w="9422" w:type="dxa"/>
          </w:tcPr>
          <w:p>
            <w:pPr>
              <w:keepNext w:val="0"/>
              <w:keepLines w:val="0"/>
              <w:suppressLineNumbers w:val="0"/>
              <w:adjustRightInd w:val="0"/>
              <w:snapToGrid w:val="0"/>
              <w:spacing w:before="0" w:beforeAutospacing="0" w:after="0" w:afterAutospacing="0" w:line="360" w:lineRule="auto"/>
              <w:ind w:left="0" w:right="0"/>
              <w:rPr>
                <w:b/>
                <w:bCs/>
                <w:kern w:val="0"/>
                <w:sz w:val="24"/>
                <w:szCs w:val="24"/>
              </w:rPr>
            </w:pPr>
            <w:r>
              <w:rPr>
                <w:b/>
                <w:bCs/>
                <w:kern w:val="0"/>
                <w:sz w:val="24"/>
                <w:szCs w:val="24"/>
              </w:rPr>
              <w:t>建设项目环境影响报告表主要结论及审批决定：</w:t>
            </w:r>
          </w:p>
          <w:p>
            <w:pPr>
              <w:keepNext w:val="0"/>
              <w:keepLines w:val="0"/>
              <w:suppressLineNumbers w:val="0"/>
              <w:adjustRightInd w:val="0"/>
              <w:snapToGrid w:val="0"/>
              <w:spacing w:before="0" w:beforeAutospacing="0" w:after="0" w:afterAutospacing="0" w:line="360" w:lineRule="auto"/>
              <w:ind w:left="0" w:right="0"/>
              <w:rPr>
                <w:b/>
                <w:bCs/>
                <w:kern w:val="0"/>
                <w:sz w:val="24"/>
                <w:szCs w:val="24"/>
              </w:rPr>
            </w:pPr>
            <w:r>
              <w:rPr>
                <w:b/>
                <w:bCs/>
                <w:kern w:val="0"/>
                <w:sz w:val="24"/>
                <w:szCs w:val="24"/>
              </w:rPr>
              <w:t>环境影响报告表主要结论</w:t>
            </w:r>
            <w:r>
              <w:rPr>
                <w:rFonts w:hint="eastAsia"/>
                <w:b/>
                <w:bCs/>
                <w:kern w:val="0"/>
                <w:sz w:val="24"/>
                <w:szCs w:val="24"/>
              </w:rPr>
              <w:t>：</w:t>
            </w:r>
          </w:p>
          <w:p>
            <w:pPr>
              <w:keepNext w:val="0"/>
              <w:keepLines w:val="0"/>
              <w:widowControl/>
              <w:suppressLineNumbers w:val="0"/>
              <w:spacing w:before="0" w:beforeAutospacing="0" w:after="0" w:afterAutospacing="0" w:line="360" w:lineRule="auto"/>
              <w:ind w:left="0" w:right="0" w:firstLine="480" w:firstLineChars="200"/>
              <w:jc w:val="both"/>
              <w:rPr>
                <w:sz w:val="24"/>
                <w:szCs w:val="24"/>
              </w:rPr>
            </w:pPr>
            <w:r>
              <w:rPr>
                <w:rFonts w:hint="eastAsia"/>
                <w:bCs/>
                <w:kern w:val="0"/>
                <w:sz w:val="24"/>
                <w:szCs w:val="24"/>
                <w:lang w:val="en-US" w:eastAsia="zh-CN"/>
              </w:rPr>
              <w:t>宁波市海曙诺盛矿业有限公司位于宁波市鄞州区鄞江镇光溪村，本项目专门从事石材的加工，所需石材全部来源宁波市海曙诺盛矿业有限公司石矿生产基地，本项目总投资3260万元，占地面积8338平方米，新建建筑面积6500平方米，生产规模为年加工20000立方石材</w:t>
            </w:r>
            <w:r>
              <w:rPr>
                <w:sz w:val="24"/>
                <w:szCs w:val="24"/>
              </w:rPr>
              <w:t>。</w:t>
            </w:r>
          </w:p>
          <w:p>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kern w:val="0"/>
                <w:sz w:val="24"/>
                <w:szCs w:val="24"/>
                <w:lang w:eastAsia="zh-CN"/>
              </w:rPr>
            </w:pPr>
            <w:r>
              <w:rPr>
                <w:sz w:val="24"/>
                <w:szCs w:val="24"/>
              </w:rPr>
              <w:t>综上所述，只要建设单位严格执行“三同时”等环保制度，</w:t>
            </w:r>
            <w:r>
              <w:rPr>
                <w:snapToGrid w:val="0"/>
                <w:sz w:val="24"/>
                <w:szCs w:val="24"/>
              </w:rPr>
              <w:t>认真实施本环评中所提出的废水、废气、噪声、固体废物治理措施，强化管理</w:t>
            </w:r>
            <w:r>
              <w:rPr>
                <w:sz w:val="24"/>
                <w:szCs w:val="24"/>
              </w:rPr>
              <w:t>措施</w:t>
            </w:r>
            <w:r>
              <w:rPr>
                <w:snapToGrid w:val="0"/>
                <w:sz w:val="24"/>
                <w:szCs w:val="24"/>
              </w:rPr>
              <w:t>，</w:t>
            </w:r>
            <w:r>
              <w:rPr>
                <w:sz w:val="24"/>
                <w:szCs w:val="24"/>
              </w:rPr>
              <w:t>确保各项污染物达到国家与地方环保相关规定要求，</w:t>
            </w:r>
            <w:r>
              <w:rPr>
                <w:snapToGrid w:val="0"/>
                <w:sz w:val="24"/>
                <w:szCs w:val="24"/>
              </w:rPr>
              <w:t>项目污染物排放对周边环境的不利影响就基本可以消除</w:t>
            </w:r>
            <w:r>
              <w:rPr>
                <w:sz w:val="24"/>
                <w:szCs w:val="24"/>
              </w:rPr>
              <w:t>，符合环保审批基本原则。从环保角度出发，本项目实施</w:t>
            </w:r>
            <w:r>
              <w:rPr>
                <w:snapToGrid w:val="0"/>
                <w:sz w:val="24"/>
                <w:szCs w:val="24"/>
              </w:rPr>
              <w:t>可行</w:t>
            </w:r>
            <w:r>
              <w:rPr>
                <w:rFonts w:hint="eastAsia" w:ascii="Times New Roman" w:hAnsi="Times New Roman" w:cs="Times New Roman"/>
                <w:kern w:val="0"/>
                <w:sz w:val="24"/>
                <w:szCs w:val="24"/>
                <w:lang w:val="en-US" w:eastAsia="zh-CN"/>
              </w:rPr>
              <w:t>。</w:t>
            </w:r>
          </w:p>
          <w:p>
            <w:pPr>
              <w:keepNext w:val="0"/>
              <w:keepLines w:val="0"/>
              <w:suppressLineNumbers w:val="0"/>
              <w:spacing w:before="0" w:beforeAutospacing="0" w:after="0" w:afterAutospacing="0" w:line="360" w:lineRule="auto"/>
              <w:ind w:left="0" w:right="0"/>
              <w:rPr>
                <w:bCs/>
                <w:kern w:val="0"/>
                <w:sz w:val="24"/>
                <w:szCs w:val="24"/>
              </w:rPr>
            </w:pPr>
            <w:r>
              <w:rPr>
                <w:b/>
                <w:bCs/>
                <w:kern w:val="0"/>
                <w:sz w:val="24"/>
                <w:szCs w:val="24"/>
              </w:rPr>
              <w:t>审批决定</w:t>
            </w:r>
            <w:r>
              <w:rPr>
                <w:rFonts w:hint="eastAsia"/>
                <w:b/>
                <w:bCs/>
                <w:kern w:val="0"/>
                <w:sz w:val="24"/>
                <w:szCs w:val="24"/>
              </w:rPr>
              <w:t>：</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kern w:val="0"/>
                <w:sz w:val="24"/>
                <w:szCs w:val="24"/>
              </w:rPr>
            </w:pPr>
            <w:r>
              <w:rPr>
                <w:bCs/>
                <w:kern w:val="0"/>
                <w:sz w:val="24"/>
                <w:szCs w:val="24"/>
              </w:rPr>
              <w:t>《关于</w:t>
            </w:r>
            <w:r>
              <w:rPr>
                <w:rFonts w:hint="eastAsia"/>
                <w:sz w:val="24"/>
                <w:lang w:eastAsia="zh-CN"/>
              </w:rPr>
              <w:t>宁波市海曙诺盛矿业有限公司年加工20000立方石材生产线项目</w:t>
            </w:r>
            <w:r>
              <w:rPr>
                <w:bCs/>
                <w:kern w:val="0"/>
                <w:sz w:val="24"/>
                <w:szCs w:val="24"/>
              </w:rPr>
              <w:t>环境影响报告表的批复》（</w:t>
            </w:r>
            <w:r>
              <w:rPr>
                <w:rFonts w:hint="eastAsia"/>
                <w:bCs/>
                <w:kern w:val="0"/>
                <w:sz w:val="24"/>
                <w:szCs w:val="24"/>
                <w:lang w:eastAsia="zh-CN"/>
              </w:rPr>
              <w:t>鄞环建〔2016〕0330号</w:t>
            </w:r>
            <w:r>
              <w:rPr>
                <w:sz w:val="24"/>
                <w:szCs w:val="24"/>
              </w:rPr>
              <w:t>）</w:t>
            </w:r>
            <w:r>
              <w:rPr>
                <w:rFonts w:hint="eastAsia" w:ascii="Times New Roman" w:hAnsi="Times New Roman" w:eastAsia="宋体" w:cs="Times New Roman"/>
                <w:kern w:val="0"/>
                <w:sz w:val="24"/>
                <w:szCs w:val="24"/>
                <w:lang w:val="en-US" w:eastAsia="zh-CN" w:bidi="ar"/>
              </w:rPr>
              <w:t>详见附件一。</w:t>
            </w:r>
          </w:p>
          <w:p>
            <w:pPr>
              <w:pStyle w:val="58"/>
              <w:keepNext w:val="0"/>
              <w:keepLines w:val="0"/>
              <w:suppressLineNumbers w:val="0"/>
              <w:tabs>
                <w:tab w:val="left" w:pos="870"/>
              </w:tabs>
              <w:spacing w:before="0" w:beforeAutospacing="0" w:after="0" w:afterAutospacing="0"/>
              <w:ind w:left="0" w:leftChars="0" w:right="0" w:firstLine="480" w:firstLineChars="200"/>
              <w:rPr>
                <w:rFonts w:ascii="Times New Roman" w:hAnsi="Times New Roman" w:cs="Times New Roman"/>
              </w:rPr>
            </w:pPr>
            <w:r>
              <w:rPr>
                <w:rFonts w:hint="eastAsia" w:ascii="Times New Roman" w:hAnsi="Times New Roman" w:cs="Times New Roman"/>
                <w:lang w:val="en-US" w:eastAsia="zh-CN"/>
              </w:rPr>
              <w:t>实际情况</w:t>
            </w:r>
            <w:r>
              <w:rPr>
                <w:rFonts w:ascii="Times New Roman" w:hAnsi="Times New Roman" w:cs="Times New Roman"/>
              </w:rPr>
              <w:t>与</w:t>
            </w:r>
            <w:r>
              <w:rPr>
                <w:rFonts w:hint="eastAsia" w:cs="Times New Roman"/>
                <w:lang w:val="en-US" w:eastAsia="zh-CN"/>
              </w:rPr>
              <w:t>批复</w:t>
            </w:r>
            <w:r>
              <w:rPr>
                <w:rFonts w:ascii="Times New Roman" w:hAnsi="Times New Roman" w:cs="Times New Roman"/>
              </w:rPr>
              <w:t>对比详见表4-</w:t>
            </w:r>
            <w:r>
              <w:rPr>
                <w:rFonts w:hint="eastAsia" w:ascii="Times New Roman" w:hAnsi="Times New Roman" w:cs="Times New Roman"/>
                <w:lang w:val="en-US" w:eastAsia="zh-CN"/>
              </w:rPr>
              <w:t>1</w:t>
            </w:r>
            <w:r>
              <w:rPr>
                <w:rFonts w:ascii="Times New Roman" w:hAnsi="Times New Roman" w:cs="Times New Roman"/>
              </w:rPr>
              <w:t>。</w:t>
            </w:r>
          </w:p>
          <w:p>
            <w:pPr>
              <w:pStyle w:val="7"/>
              <w:keepNext w:val="0"/>
              <w:keepLines w:val="0"/>
              <w:suppressLineNumbers w:val="0"/>
              <w:spacing w:before="0" w:beforeAutospacing="0" w:after="0" w:afterAutospacing="0" w:line="360" w:lineRule="auto"/>
              <w:ind w:left="0" w:right="0"/>
              <w:rPr>
                <w:rFonts w:ascii="Times New Roman" w:hAnsi="Times New Roman" w:cs="Times New Roman"/>
                <w:b/>
                <w:bCs/>
                <w:szCs w:val="22"/>
              </w:rPr>
            </w:pPr>
            <w:r>
              <w:rPr>
                <w:rFonts w:ascii="Times New Roman" w:hAnsi="Times New Roman" w:cs="Times New Roman"/>
                <w:b/>
                <w:bCs/>
                <w:szCs w:val="22"/>
              </w:rPr>
              <w:t>表 4-</w:t>
            </w:r>
            <w:r>
              <w:rPr>
                <w:rFonts w:hint="eastAsia" w:ascii="Times New Roman" w:hAnsi="Times New Roman" w:cs="Times New Roman"/>
                <w:b/>
                <w:bCs/>
                <w:szCs w:val="22"/>
                <w:lang w:val="en-US" w:eastAsia="zh-CN"/>
              </w:rPr>
              <w:t>1</w:t>
            </w:r>
            <w:r>
              <w:rPr>
                <w:rFonts w:ascii="Times New Roman" w:hAnsi="Times New Roman" w:cs="Times New Roman"/>
                <w:b/>
                <w:bCs/>
                <w:szCs w:val="22"/>
              </w:rPr>
              <w:t xml:space="preserve"> </w:t>
            </w:r>
            <w:r>
              <w:rPr>
                <w:rFonts w:hint="eastAsia" w:ascii="Times New Roman" w:hAnsi="Times New Roman" w:cs="Times New Roman"/>
                <w:b/>
                <w:bCs/>
                <w:szCs w:val="22"/>
                <w:lang w:val="en-US" w:eastAsia="zh-CN"/>
              </w:rPr>
              <w:t>项目实际</w:t>
            </w:r>
            <w:r>
              <w:rPr>
                <w:rFonts w:hint="eastAsia" w:ascii="Times New Roman" w:hAnsi="Times New Roman" w:eastAsia="宋体" w:cs="Times New Roman"/>
                <w:b/>
                <w:bCs/>
                <w:szCs w:val="22"/>
                <w:lang w:val="en-US" w:eastAsia="zh-CN"/>
              </w:rPr>
              <w:t>情况与批复对</w:t>
            </w:r>
            <w:r>
              <w:rPr>
                <w:rFonts w:ascii="Times New Roman" w:hAnsi="Times New Roman" w:cs="Times New Roman"/>
                <w:b/>
                <w:bCs/>
                <w:szCs w:val="22"/>
              </w:rPr>
              <w:t>比</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293"/>
              <w:gridCol w:w="4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blHeader/>
                <w:jc w:val="center"/>
              </w:trPr>
              <w:tc>
                <w:tcPr>
                  <w:tcW w:w="418" w:type="pct"/>
                  <w:tcBorders>
                    <w:tl2br w:val="nil"/>
                    <w:tr2bl w:val="nil"/>
                  </w:tcBorders>
                  <w:vAlign w:val="center"/>
                </w:tcPr>
                <w:p>
                  <w:pPr>
                    <w:pStyle w:val="48"/>
                    <w:keepNext w:val="0"/>
                    <w:keepLines w:val="0"/>
                    <w:suppressLineNumbers w:val="0"/>
                    <w:spacing w:beforeAutospacing="0" w:afterAutospacing="0"/>
                    <w:ind w:left="0" w:right="0"/>
                    <w:jc w:val="center"/>
                    <w:rPr>
                      <w:rFonts w:hint="eastAsia" w:ascii="宋体" w:hAnsi="宋体" w:eastAsia="宋体" w:cs="宋体"/>
                      <w:b/>
                      <w:bCs/>
                      <w:sz w:val="21"/>
                    </w:rPr>
                  </w:pPr>
                  <w:r>
                    <w:rPr>
                      <w:rFonts w:hint="eastAsia" w:ascii="宋体" w:hAnsi="宋体" w:eastAsia="宋体" w:cs="宋体"/>
                      <w:b/>
                      <w:bCs/>
                      <w:sz w:val="21"/>
                    </w:rPr>
                    <w:t>项目</w:t>
                  </w:r>
                </w:p>
              </w:tc>
              <w:tc>
                <w:tcPr>
                  <w:tcW w:w="2335" w:type="pct"/>
                  <w:tcBorders>
                    <w:tl2br w:val="nil"/>
                    <w:tr2bl w:val="nil"/>
                  </w:tcBorders>
                  <w:vAlign w:val="center"/>
                </w:tcPr>
                <w:p>
                  <w:pPr>
                    <w:pStyle w:val="48"/>
                    <w:keepNext w:val="0"/>
                    <w:keepLines w:val="0"/>
                    <w:suppressLineNumbers w:val="0"/>
                    <w:spacing w:beforeAutospacing="0" w:afterAutospacing="0"/>
                    <w:ind w:left="0" w:right="0"/>
                    <w:jc w:val="center"/>
                    <w:rPr>
                      <w:rFonts w:hint="eastAsia" w:ascii="宋体" w:hAnsi="宋体" w:eastAsia="宋体" w:cs="宋体"/>
                      <w:b/>
                      <w:bCs/>
                      <w:sz w:val="21"/>
                    </w:rPr>
                  </w:pPr>
                  <w:r>
                    <w:rPr>
                      <w:rFonts w:hint="eastAsia" w:ascii="宋体" w:hAnsi="宋体" w:eastAsia="宋体" w:cs="宋体"/>
                      <w:b/>
                      <w:bCs/>
                      <w:sz w:val="21"/>
                      <w:lang w:val="en-US" w:eastAsia="zh-CN"/>
                    </w:rPr>
                    <w:t>批复</w:t>
                  </w:r>
                  <w:r>
                    <w:rPr>
                      <w:rFonts w:hint="eastAsia" w:ascii="宋体" w:hAnsi="宋体" w:eastAsia="宋体" w:cs="宋体"/>
                      <w:b/>
                      <w:bCs/>
                      <w:sz w:val="21"/>
                    </w:rPr>
                    <w:t>要求</w:t>
                  </w:r>
                </w:p>
              </w:tc>
              <w:tc>
                <w:tcPr>
                  <w:tcW w:w="2245" w:type="pct"/>
                  <w:tcBorders>
                    <w:tl2br w:val="nil"/>
                    <w:tr2bl w:val="nil"/>
                  </w:tcBorders>
                  <w:vAlign w:val="center"/>
                </w:tcPr>
                <w:p>
                  <w:pPr>
                    <w:pStyle w:val="48"/>
                    <w:keepNext w:val="0"/>
                    <w:keepLines w:val="0"/>
                    <w:suppressLineNumbers w:val="0"/>
                    <w:spacing w:beforeAutospacing="0" w:afterAutospacing="0"/>
                    <w:ind w:left="0" w:right="0"/>
                    <w:jc w:val="center"/>
                    <w:rPr>
                      <w:rFonts w:hint="eastAsia" w:ascii="宋体" w:hAnsi="宋体" w:eastAsia="宋体" w:cs="宋体"/>
                      <w:b/>
                      <w:bCs/>
                      <w:sz w:val="21"/>
                      <w:highlight w:val="yellow"/>
                    </w:rPr>
                  </w:pPr>
                  <w:r>
                    <w:rPr>
                      <w:rFonts w:hint="eastAsia" w:ascii="宋体" w:hAnsi="宋体" w:eastAsia="宋体" w:cs="宋体"/>
                      <w:b/>
                      <w:bCs/>
                      <w:sz w:val="21"/>
                    </w:rPr>
                    <w:t>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18" w:type="pct"/>
                  <w:tcBorders>
                    <w:tl2br w:val="nil"/>
                    <w:tr2bl w:val="nil"/>
                  </w:tcBorders>
                  <w:vAlign w:val="center"/>
                </w:tcPr>
                <w:p>
                  <w:pPr>
                    <w:pStyle w:val="74"/>
                    <w:keepNext w:val="0"/>
                    <w:keepLines w:val="0"/>
                    <w:suppressLineNumbers w:val="0"/>
                    <w:spacing w:before="0" w:beforeAutospacing="0" w:after="0" w:afterAutospacing="0"/>
                    <w:ind w:left="0" w:right="0"/>
                    <w:jc w:val="both"/>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项目</w:t>
                  </w:r>
                </w:p>
                <w:p>
                  <w:pPr>
                    <w:pStyle w:val="48"/>
                    <w:keepNext w:val="0"/>
                    <w:keepLines w:val="0"/>
                    <w:suppressLineNumbers w:val="0"/>
                    <w:spacing w:beforeAutospacing="0" w:afterAutospacing="0"/>
                    <w:ind w:left="0" w:right="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建设</w:t>
                  </w:r>
                </w:p>
              </w:tc>
              <w:tc>
                <w:tcPr>
                  <w:tcW w:w="233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20" w:firstLineChars="200"/>
                    <w:jc w:val="both"/>
                    <w:textAlignment w:val="auto"/>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该项目选址位于宁波市海曙区鄞江镇光溪村，项目总用地面积8338平方米，新建建筑面积约6500平方米，预计年加工20000立方石材。</w:t>
                  </w:r>
                </w:p>
              </w:tc>
              <w:tc>
                <w:tcPr>
                  <w:tcW w:w="224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项目</w:t>
                  </w:r>
                  <w:r>
                    <w:rPr>
                      <w:rFonts w:hint="eastAsia" w:cs="Times New Roman"/>
                      <w:kern w:val="0"/>
                      <w:sz w:val="21"/>
                      <w:szCs w:val="21"/>
                      <w:lang w:val="en-US" w:eastAsia="zh-CN" w:bidi="ar-SA"/>
                    </w:rPr>
                    <w:t>为</w:t>
                  </w:r>
                  <w:r>
                    <w:rPr>
                      <w:rFonts w:hint="eastAsia" w:ascii="Times New Roman" w:hAnsi="Times New Roman" w:eastAsia="宋体" w:cs="Times New Roman"/>
                      <w:kern w:val="0"/>
                      <w:sz w:val="21"/>
                      <w:szCs w:val="21"/>
                      <w:lang w:val="en-US" w:eastAsia="zh-CN" w:bidi="ar-SA"/>
                    </w:rPr>
                    <w:t>新建项目，位于</w:t>
                  </w:r>
                  <w:r>
                    <w:rPr>
                      <w:rFonts w:hint="eastAsia" w:cs="Times New Roman"/>
                      <w:kern w:val="0"/>
                      <w:sz w:val="21"/>
                      <w:szCs w:val="21"/>
                      <w:lang w:val="en-US" w:eastAsia="zh-CN" w:bidi="ar-SA"/>
                    </w:rPr>
                    <w:t>海曙区鄞江镇光溪村</w:t>
                  </w:r>
                  <w:r>
                    <w:rPr>
                      <w:rFonts w:hint="eastAsia" w:ascii="Times New Roman" w:hAnsi="Times New Roman" w:eastAsia="宋体" w:cs="Times New Roman"/>
                      <w:kern w:val="0"/>
                      <w:sz w:val="21"/>
                      <w:szCs w:val="21"/>
                      <w:lang w:val="en-US" w:eastAsia="zh-CN" w:bidi="ar-SA"/>
                    </w:rPr>
                    <w:t>，本项目总投资3260万元，占地面积8338平方米，新建建筑面积6500平方米，生产规模为年加工20000立方石材</w:t>
                  </w:r>
                  <w:r>
                    <w:rPr>
                      <w:rFonts w:hint="eastAsia" w:cs="Times New Roman"/>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jc w:val="center"/>
              </w:trPr>
              <w:tc>
                <w:tcPr>
                  <w:tcW w:w="418" w:type="pct"/>
                  <w:tcBorders>
                    <w:tl2br w:val="nil"/>
                    <w:tr2bl w:val="nil"/>
                  </w:tcBorders>
                  <w:vAlign w:val="center"/>
                </w:tcPr>
                <w:p>
                  <w:pPr>
                    <w:pStyle w:val="48"/>
                    <w:keepNext w:val="0"/>
                    <w:keepLines w:val="0"/>
                    <w:suppressLineNumbers w:val="0"/>
                    <w:spacing w:beforeAutospacing="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pacing w:val="0"/>
                      <w:kern w:val="0"/>
                      <w:sz w:val="21"/>
                      <w:szCs w:val="21"/>
                      <w:lang w:val="en-US" w:eastAsia="zh-CN" w:bidi="ar-SA"/>
                    </w:rPr>
                    <w:t>废水防治</w:t>
                  </w:r>
                </w:p>
              </w:tc>
              <w:tc>
                <w:tcPr>
                  <w:tcW w:w="233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20" w:firstLineChars="200"/>
                    <w:jc w:val="both"/>
                    <w:textAlignment w:val="auto"/>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生活污水、生产废水分别收集，并通过有效处理后作为稳定层搅拌站补充用水全部回用。</w:t>
                  </w:r>
                </w:p>
              </w:tc>
              <w:tc>
                <w:tcPr>
                  <w:tcW w:w="224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color w:val="000000"/>
                      <w:szCs w:val="21"/>
                    </w:rPr>
                    <w:t>本项目</w:t>
                  </w:r>
                  <w:r>
                    <w:rPr>
                      <w:rFonts w:hint="eastAsia" w:ascii="Times New Roman" w:hAnsi="Times New Roman" w:eastAsia="宋体" w:cs="Times New Roman"/>
                      <w:color w:val="000000"/>
                      <w:szCs w:val="21"/>
                      <w:lang w:val="en-US" w:eastAsia="zh-CN"/>
                    </w:rPr>
                    <w:t>生活污水经化粪池厌氧预处理后汇同雨水进入蓄水池，回用于公司矿区生态修复工程，不外排，蓄水池容量为1.2万立方米，足够容纳生活污水及雨水</w:t>
                  </w:r>
                  <w:r>
                    <w:rPr>
                      <w:rFonts w:hint="eastAsia" w:ascii="Times New Roman" w:hAnsi="Times New Roman" w:eastAsia="宋体" w:cs="Times New Roman"/>
                      <w:color w:val="000000"/>
                      <w:szCs w:val="21"/>
                    </w:rPr>
                    <w:t>；生产废水</w:t>
                  </w:r>
                  <w:r>
                    <w:rPr>
                      <w:rFonts w:hint="eastAsia" w:ascii="Times New Roman" w:hAnsi="Times New Roman" w:eastAsia="宋体" w:cs="Times New Roman"/>
                      <w:color w:val="000000"/>
                      <w:szCs w:val="21"/>
                      <w:lang w:eastAsia="zh-CN"/>
                    </w:rPr>
                    <w:t>、车辆冲洗废水及场地清洗废水</w:t>
                  </w:r>
                  <w:r>
                    <w:rPr>
                      <w:rFonts w:hint="eastAsia" w:ascii="Times New Roman" w:hAnsi="Times New Roman" w:eastAsia="宋体" w:cs="Times New Roman"/>
                      <w:color w:val="000000"/>
                      <w:szCs w:val="21"/>
                    </w:rPr>
                    <w:t>经三级沉淀、过滤处理后回用于</w:t>
                  </w:r>
                  <w:r>
                    <w:rPr>
                      <w:rFonts w:hint="eastAsia" w:ascii="Times New Roman" w:hAnsi="Times New Roman" w:eastAsia="宋体" w:cs="Times New Roman"/>
                      <w:color w:val="000000"/>
                      <w:szCs w:val="21"/>
                      <w:lang w:eastAsia="zh-CN"/>
                    </w:rPr>
                    <w:t>切割、打磨、整修湿法除尘工艺，不外排</w:t>
                  </w:r>
                  <w:r>
                    <w:rPr>
                      <w:rFonts w:hint="eastAsia" w:ascii="Times New Roman" w:hAnsi="Times New Roman" w:eastAsia="宋体" w:cs="Times New Roman"/>
                      <w:color w:val="000000"/>
                      <w:szCs w:val="21"/>
                    </w:rPr>
                    <w:t>。对周边环境基本无影响</w:t>
                  </w:r>
                  <w:r>
                    <w:rPr>
                      <w:rFonts w:hint="eastAsia" w:ascii="Times New Roman" w:hAnsi="Times New Roman" w:eastAsia="宋体" w:cs="Times New Roman"/>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418" w:type="pct"/>
                  <w:tcBorders>
                    <w:tl2br w:val="nil"/>
                    <w:tr2bl w:val="nil"/>
                  </w:tcBorders>
                  <w:vAlign w:val="center"/>
                </w:tcPr>
                <w:p>
                  <w:pPr>
                    <w:pStyle w:val="48"/>
                    <w:keepNext w:val="0"/>
                    <w:keepLines w:val="0"/>
                    <w:suppressLineNumbers w:val="0"/>
                    <w:spacing w:beforeAutospacing="0" w:afterAutospacing="0"/>
                    <w:ind w:left="0" w:right="0"/>
                    <w:jc w:val="center"/>
                    <w:rPr>
                      <w:rFonts w:hint="default" w:ascii="Times New Roman" w:hAnsi="Times New Roman" w:cs="Times New Roman" w:eastAsiaTheme="minorEastAsia"/>
                      <w:spacing w:val="5"/>
                      <w:kern w:val="44"/>
                      <w:sz w:val="21"/>
                      <w:szCs w:val="22"/>
                      <w:lang w:val="en-US" w:eastAsia="zh-CN" w:bidi="ar-SA"/>
                    </w:rPr>
                  </w:pPr>
                  <w:r>
                    <w:rPr>
                      <w:rFonts w:hint="default" w:ascii="Times New Roman" w:hAnsi="Times New Roman" w:eastAsia="宋体" w:cs="Times New Roman"/>
                      <w:spacing w:val="0"/>
                      <w:kern w:val="0"/>
                      <w:sz w:val="21"/>
                      <w:szCs w:val="21"/>
                      <w:lang w:val="en-US" w:eastAsia="zh-CN" w:bidi="ar-SA"/>
                    </w:rPr>
                    <w:t>噪声防治</w:t>
                  </w:r>
                </w:p>
              </w:tc>
              <w:tc>
                <w:tcPr>
                  <w:tcW w:w="233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20" w:firstLineChars="200"/>
                    <w:jc w:val="both"/>
                    <w:textAlignment w:val="auto"/>
                    <w:rPr>
                      <w:rFonts w:hint="default" w:cs="Times New Roman"/>
                      <w:kern w:val="0"/>
                      <w:sz w:val="21"/>
                      <w:szCs w:val="21"/>
                      <w:lang w:val="en-US" w:eastAsia="zh-CN" w:bidi="ar-SA"/>
                    </w:rPr>
                  </w:pPr>
                  <w:r>
                    <w:rPr>
                      <w:rFonts w:hint="eastAsia" w:cs="Times New Roman"/>
                      <w:kern w:val="0"/>
                      <w:sz w:val="21"/>
                      <w:szCs w:val="21"/>
                      <w:lang w:val="en-US" w:eastAsia="zh-CN" w:bidi="ar-SA"/>
                    </w:rPr>
                    <w:t>做好噪声的防治工作，本项目厂界环境噪声排放执行GB12348-2008《工业企业厂界环境噪声排放标准》2类标准。</w:t>
                  </w:r>
                </w:p>
              </w:tc>
              <w:tc>
                <w:tcPr>
                  <w:tcW w:w="224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rPr>
                      <w:rFonts w:hint="eastAsia"/>
                      <w:lang w:val="en-US" w:eastAsia="zh-CN"/>
                    </w:rPr>
                  </w:pPr>
                  <w:r>
                    <w:rPr>
                      <w:rFonts w:hint="default"/>
                    </w:rPr>
                    <w:t>企业已做好防震、减噪措施。</w:t>
                  </w:r>
                  <w:r>
                    <w:rPr>
                      <w:rFonts w:hint="default"/>
                      <w:lang w:val="en-US" w:eastAsia="zh-CN"/>
                    </w:rPr>
                    <w:t>验收监测期间，厂界四周噪声符合《工业企业厂界环境噪声排放标准》（GB12348-2008）</w:t>
                  </w:r>
                  <w:r>
                    <w:rPr>
                      <w:rFonts w:hint="eastAsia"/>
                      <w:lang w:val="en-US" w:eastAsia="zh-CN"/>
                    </w:rPr>
                    <w:t>2</w:t>
                  </w:r>
                  <w:r>
                    <w:rPr>
                      <w:rFonts w:hint="default"/>
                      <w:lang w:val="en-US" w:eastAsia="zh-CN"/>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0" w:type="auto"/>
                  <w:vAlign w:val="center"/>
                </w:tcPr>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pacing w:val="0"/>
                      <w:kern w:val="0"/>
                      <w:sz w:val="21"/>
                      <w:szCs w:val="21"/>
                      <w:lang w:val="en-US" w:eastAsia="zh-CN" w:bidi="ar-SA"/>
                    </w:rPr>
                  </w:pPr>
                  <w:r>
                    <w:rPr>
                      <w:rFonts w:hint="eastAsia" w:ascii="Times New Roman" w:hAnsi="Times New Roman" w:eastAsia="宋体" w:cs="Times New Roman"/>
                      <w:spacing w:val="0"/>
                      <w:kern w:val="0"/>
                      <w:sz w:val="21"/>
                      <w:szCs w:val="21"/>
                      <w:lang w:val="en-US" w:eastAsia="zh-CN" w:bidi="ar-SA"/>
                    </w:rPr>
                    <w:t>固废防治</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20" w:firstLineChars="200"/>
                    <w:jc w:val="both"/>
                    <w:textAlignment w:val="auto"/>
                    <w:rPr>
                      <w:rFonts w:hint="default" w:cs="Times New Roman"/>
                      <w:kern w:val="0"/>
                      <w:sz w:val="21"/>
                      <w:szCs w:val="21"/>
                      <w:lang w:val="en-US" w:eastAsia="zh-CN" w:bidi="ar-SA"/>
                    </w:rPr>
                  </w:pPr>
                  <w:r>
                    <w:rPr>
                      <w:rFonts w:hint="eastAsia" w:cs="Times New Roman"/>
                      <w:kern w:val="0"/>
                      <w:sz w:val="21"/>
                      <w:szCs w:val="21"/>
                      <w:lang w:val="en-US" w:eastAsia="zh-CN" w:bidi="ar-SA"/>
                    </w:rPr>
                    <w:t>生产过程及污染物处理过程产生的各类固废及生活垃圾等固体废弃物分类收集后作无害化或资源化处理，严防二次污染的产生。</w:t>
                  </w:r>
                </w:p>
              </w:tc>
              <w:tc>
                <w:tcPr>
                  <w:tcW w:w="0" w:type="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20" w:firstLineChars="200"/>
                    <w:jc w:val="both"/>
                    <w:textAlignment w:val="auto"/>
                    <w:rPr>
                      <w:rFonts w:hint="default" w:cs="Times New Roman"/>
                      <w:kern w:val="0"/>
                      <w:sz w:val="21"/>
                      <w:szCs w:val="21"/>
                      <w:lang w:val="en-US" w:eastAsia="zh-CN" w:bidi="ar-SA"/>
                    </w:rPr>
                  </w:pPr>
                  <w:r>
                    <w:rPr>
                      <w:rFonts w:hint="default" w:cs="Times New Roman"/>
                      <w:kern w:val="0"/>
                      <w:sz w:val="21"/>
                      <w:szCs w:val="21"/>
                      <w:lang w:val="en-US" w:eastAsia="zh-CN" w:bidi="ar-SA"/>
                    </w:rPr>
                    <w:t>本项</w:t>
                  </w:r>
                  <w:r>
                    <w:rPr>
                      <w:rFonts w:hint="eastAsia" w:cs="Times New Roman"/>
                      <w:kern w:val="0"/>
                      <w:sz w:val="21"/>
                      <w:szCs w:val="21"/>
                      <w:lang w:val="en-US" w:eastAsia="zh-CN" w:bidi="ar-SA"/>
                    </w:rPr>
                    <w:t>目固废主要为边角料、沉淀池沉渣、废钨钢刀头和生活垃圾。边角料全部外卖，综合利用；沉淀池沉渣</w:t>
                  </w:r>
                  <w:r>
                    <w:rPr>
                      <w:rFonts w:hint="default" w:cs="Times New Roman"/>
                      <w:kern w:val="0"/>
                      <w:sz w:val="21"/>
                      <w:szCs w:val="21"/>
                      <w:lang w:val="en-US" w:eastAsia="zh-CN" w:bidi="ar-SA"/>
                    </w:rPr>
                    <w:t>收集后</w:t>
                  </w:r>
                  <w:r>
                    <w:rPr>
                      <w:rFonts w:hint="eastAsia" w:ascii="Times New Roman" w:hAnsi="Times New Roman" w:eastAsia="宋体" w:cs="Times New Roman"/>
                      <w:bCs/>
                      <w:kern w:val="2"/>
                      <w:sz w:val="21"/>
                      <w:szCs w:val="21"/>
                      <w:lang w:val="en-US" w:eastAsia="zh-CN" w:bidi="ar-SA"/>
                    </w:rPr>
                    <w:t>用于公司矿区矿山修复工程喷播</w:t>
                  </w:r>
                  <w:r>
                    <w:rPr>
                      <w:rFonts w:hint="eastAsia" w:cs="Times New Roman"/>
                      <w:kern w:val="0"/>
                      <w:sz w:val="21"/>
                      <w:szCs w:val="21"/>
                      <w:lang w:val="en-US" w:eastAsia="zh-CN" w:bidi="ar-SA"/>
                    </w:rPr>
                    <w:t>；废钨钢刀头收集后全部外卖，综合利用；生活垃圾委托环卫部门清运。</w:t>
                  </w:r>
                </w:p>
              </w:tc>
            </w:tr>
          </w:tbl>
          <w:p>
            <w:pPr>
              <w:keepNext w:val="0"/>
              <w:keepLines w:val="0"/>
              <w:suppressLineNumbers w:val="0"/>
              <w:spacing w:before="0" w:beforeAutospacing="0" w:after="0" w:afterAutospacing="0" w:line="360" w:lineRule="auto"/>
              <w:ind w:left="0" w:right="0"/>
              <w:rPr>
                <w:kern w:val="0"/>
                <w:sz w:val="24"/>
                <w:szCs w:val="24"/>
              </w:rPr>
            </w:pPr>
          </w:p>
        </w:tc>
      </w:tr>
    </w:tbl>
    <w:p>
      <w:pPr>
        <w:pStyle w:val="3"/>
        <w:jc w:val="both"/>
        <w:rPr>
          <w:rFonts w:ascii="Times New Roman" w:hAnsi="Times New Roman"/>
        </w:rPr>
        <w:sectPr>
          <w:pgSz w:w="11906" w:h="16838"/>
          <w:pgMar w:top="1134" w:right="1417" w:bottom="1134" w:left="1417" w:header="680" w:footer="992" w:gutter="0"/>
          <w:pgBorders>
            <w:top w:val="none" w:sz="0" w:space="0"/>
            <w:left w:val="none" w:sz="0" w:space="0"/>
            <w:bottom w:val="none" w:sz="0" w:space="0"/>
            <w:right w:val="none" w:sz="0" w:space="0"/>
          </w:pgBorders>
          <w:cols w:space="720" w:num="1"/>
          <w:docGrid w:type="lines" w:linePitch="312" w:charSpace="0"/>
        </w:sectPr>
      </w:pPr>
    </w:p>
    <w:p>
      <w:pPr>
        <w:pStyle w:val="3"/>
        <w:jc w:val="both"/>
        <w:rPr>
          <w:rFonts w:ascii="Times New Roman" w:hAnsi="Times New Roman"/>
          <w:szCs w:val="24"/>
        </w:rPr>
      </w:pPr>
      <w:r>
        <w:rPr>
          <w:rFonts w:ascii="Times New Roman" w:hAnsi="Times New Roman"/>
        </w:rPr>
        <w:t>表五</w:t>
      </w:r>
    </w:p>
    <w:tbl>
      <w:tblPr>
        <w:tblStyle w:val="21"/>
        <w:tblW w:w="942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22"/>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3579" w:hRule="atLeast"/>
          <w:jc w:val="center"/>
        </w:trPr>
        <w:tc>
          <w:tcPr>
            <w:tcW w:w="9422" w:type="dxa"/>
            <w:tcBorders>
              <w:tl2br w:val="nil"/>
              <w:tr2bl w:val="nil"/>
            </w:tcBorders>
            <w:vAlign w:val="top"/>
          </w:tcPr>
          <w:p>
            <w:pPr>
              <w:keepNext w:val="0"/>
              <w:keepLines w:val="0"/>
              <w:suppressLineNumbers w:val="0"/>
              <w:adjustRightInd w:val="0"/>
              <w:snapToGrid w:val="0"/>
              <w:spacing w:before="0" w:beforeAutospacing="0" w:after="0" w:afterAutospacing="0" w:line="360" w:lineRule="auto"/>
              <w:ind w:left="0" w:right="0"/>
              <w:rPr>
                <w:b/>
                <w:bCs/>
                <w:kern w:val="0"/>
                <w:sz w:val="24"/>
                <w:szCs w:val="24"/>
              </w:rPr>
            </w:pPr>
            <w:r>
              <w:rPr>
                <w:b/>
                <w:bCs/>
                <w:kern w:val="0"/>
                <w:sz w:val="24"/>
                <w:szCs w:val="24"/>
              </w:rPr>
              <w:t>验收监测质量保证及质量控制：</w:t>
            </w:r>
          </w:p>
          <w:p>
            <w:pPr>
              <w:pStyle w:val="4"/>
              <w:suppressLineNumbers w:val="0"/>
              <w:spacing w:before="0" w:beforeAutospacing="0" w:after="0" w:afterAutospacing="0" w:line="360" w:lineRule="auto"/>
              <w:ind w:left="0" w:right="0"/>
              <w:outlineLvl w:val="1"/>
              <w:rPr>
                <w:rFonts w:ascii="Times New Roman" w:hAnsi="Times New Roman"/>
                <w:kern w:val="0"/>
                <w:sz w:val="24"/>
                <w:szCs w:val="24"/>
              </w:rPr>
            </w:pPr>
            <w:r>
              <w:rPr>
                <w:rFonts w:ascii="Times New Roman" w:hAnsi="Times New Roman"/>
                <w:kern w:val="0"/>
                <w:sz w:val="24"/>
                <w:szCs w:val="24"/>
              </w:rPr>
              <w:t xml:space="preserve">  </w:t>
            </w:r>
            <w:bookmarkStart w:id="1" w:name="_Toc20132"/>
            <w:r>
              <w:rPr>
                <w:rFonts w:ascii="Times New Roman" w:hAnsi="Times New Roman"/>
                <w:kern w:val="0"/>
                <w:sz w:val="24"/>
                <w:szCs w:val="24"/>
              </w:rPr>
              <w:t xml:space="preserve"> </w:t>
            </w:r>
            <w:r>
              <w:rPr>
                <w:rFonts w:ascii="Times New Roman" w:hAnsi="Times New Roman"/>
                <w:b w:val="0"/>
                <w:bCs w:val="0"/>
                <w:kern w:val="0"/>
                <w:sz w:val="24"/>
                <w:szCs w:val="24"/>
              </w:rPr>
              <w:t xml:space="preserve"> 1、监测分析方法</w:t>
            </w:r>
            <w:bookmarkEnd w:id="1"/>
          </w:p>
          <w:p>
            <w:pPr>
              <w:keepNext w:val="0"/>
              <w:keepLines w:val="0"/>
              <w:suppressLineNumbers w:val="0"/>
              <w:spacing w:before="0" w:beforeAutospacing="0" w:after="0" w:afterAutospacing="0" w:line="360" w:lineRule="auto"/>
              <w:ind w:left="0" w:right="0" w:firstLine="480" w:firstLineChars="200"/>
              <w:rPr>
                <w:bCs/>
                <w:kern w:val="0"/>
                <w:sz w:val="24"/>
                <w:szCs w:val="24"/>
              </w:rPr>
            </w:pPr>
            <w:r>
              <w:rPr>
                <w:bCs/>
                <w:kern w:val="0"/>
                <w:sz w:val="24"/>
                <w:szCs w:val="24"/>
              </w:rPr>
              <w:t>监测分析方法见表5-1</w:t>
            </w:r>
            <w:r>
              <w:rPr>
                <w:rFonts w:hint="eastAsia"/>
                <w:bCs/>
                <w:kern w:val="0"/>
                <w:sz w:val="24"/>
                <w:szCs w:val="24"/>
              </w:rPr>
              <w:t>。</w:t>
            </w:r>
          </w:p>
          <w:p>
            <w:pPr>
              <w:pStyle w:val="51"/>
              <w:keepNext w:val="0"/>
              <w:keepLines w:val="0"/>
              <w:suppressLineNumbers w:val="0"/>
              <w:spacing w:before="0" w:beforeAutospacing="0" w:after="0" w:afterAutospacing="0" w:line="240" w:lineRule="auto"/>
              <w:ind w:left="0" w:right="0" w:firstLine="0" w:firstLineChars="0"/>
              <w:jc w:val="center"/>
              <w:rPr>
                <w:b/>
                <w:bCs/>
                <w:kern w:val="0"/>
                <w:szCs w:val="24"/>
              </w:rPr>
            </w:pPr>
            <w:r>
              <w:rPr>
                <w:b/>
                <w:bCs/>
                <w:kern w:val="0"/>
                <w:szCs w:val="24"/>
              </w:rPr>
              <w:t>表5-1 监测分析方法一览表</w:t>
            </w:r>
          </w:p>
          <w:tbl>
            <w:tblPr>
              <w:tblStyle w:val="20"/>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709"/>
              <w:gridCol w:w="5212"/>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0"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监测类别</w:t>
                  </w:r>
                </w:p>
              </w:tc>
              <w:tc>
                <w:tcPr>
                  <w:tcW w:w="1709"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监测项目</w:t>
                  </w:r>
                </w:p>
              </w:tc>
              <w:tc>
                <w:tcPr>
                  <w:tcW w:w="5212"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监测依据的标准（方法）名称及编号（年号）</w:t>
                  </w:r>
                </w:p>
              </w:tc>
              <w:tc>
                <w:tcPr>
                  <w:tcW w:w="1556"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0" w:type="dxa"/>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废气</w:t>
                  </w:r>
                </w:p>
              </w:tc>
              <w:tc>
                <w:tcPr>
                  <w:tcW w:w="1709" w:type="dxa"/>
                  <w:vAlign w:val="center"/>
                </w:tcPr>
                <w:p>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kern w:val="0"/>
                      <w:sz w:val="21"/>
                      <w:szCs w:val="21"/>
                      <w:lang w:val="en-US" w:eastAsia="zh-CN" w:bidi="ar-SA"/>
                    </w:rPr>
                  </w:pPr>
                  <w:r>
                    <w:rPr>
                      <w:szCs w:val="21"/>
                    </w:rPr>
                    <w:t>总悬浮颗粒物</w:t>
                  </w:r>
                </w:p>
              </w:tc>
              <w:tc>
                <w:tcPr>
                  <w:tcW w:w="5212" w:type="dxa"/>
                  <w:vAlign w:val="center"/>
                </w:tcPr>
                <w:p>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kern w:val="0"/>
                      <w:sz w:val="21"/>
                      <w:szCs w:val="21"/>
                      <w:lang w:val="en-US" w:eastAsia="zh-CN" w:bidi="ar-SA"/>
                    </w:rPr>
                  </w:pPr>
                  <w:r>
                    <w:rPr>
                      <w:szCs w:val="21"/>
                    </w:rPr>
                    <w:t>环境空气 总悬浮颗粒物的测定 重量法GB/T 15432-1995及修改单</w:t>
                  </w:r>
                </w:p>
              </w:tc>
              <w:tc>
                <w:tcPr>
                  <w:tcW w:w="1556" w:type="dxa"/>
                  <w:vAlign w:val="center"/>
                </w:tcPr>
                <w:p>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kern w:val="2"/>
                      <w:sz w:val="21"/>
                      <w:szCs w:val="21"/>
                      <w:lang w:val="en-US" w:eastAsia="zh-CN" w:bidi="ar-SA"/>
                    </w:rPr>
                  </w:pPr>
                  <w:r>
                    <w:rPr>
                      <w:bCs/>
                      <w:szCs w:val="21"/>
                    </w:rPr>
                    <w:t>0.001</w:t>
                  </w:r>
                  <w:r>
                    <w:rPr>
                      <w:rFonts w:hint="eastAsia"/>
                      <w:bCs/>
                      <w:szCs w:val="21"/>
                      <w:lang w:val="en-US" w:eastAsia="zh-CN"/>
                    </w:rPr>
                    <w:t xml:space="preserve"> </w:t>
                  </w:r>
                  <w:r>
                    <w:rPr>
                      <w:bCs/>
                      <w:szCs w:val="21"/>
                    </w:rPr>
                    <w:t>m</w:t>
                  </w:r>
                  <w:r>
                    <w:rPr>
                      <w:szCs w:val="21"/>
                    </w:rPr>
                    <w:t>g</w:t>
                  </w:r>
                  <w:r>
                    <w:rPr>
                      <w:bCs/>
                      <w:szCs w:val="21"/>
                    </w:rPr>
                    <w:t>/m</w:t>
                  </w:r>
                  <w:r>
                    <w:rPr>
                      <w:bCs/>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690" w:type="dxa"/>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噪声</w:t>
                  </w:r>
                </w:p>
              </w:tc>
              <w:tc>
                <w:tcPr>
                  <w:tcW w:w="1709" w:type="dxa"/>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工业企业</w:t>
                  </w:r>
                </w:p>
                <w:p>
                  <w:pPr>
                    <w:keepNext w:val="0"/>
                    <w:keepLines w:val="0"/>
                    <w:suppressLineNumbers w:val="0"/>
                    <w:adjustRightInd w:val="0"/>
                    <w:snapToGrid w:val="0"/>
                    <w:spacing w:before="0" w:beforeAutospacing="0" w:after="0" w:afterAutospacing="0"/>
                    <w:ind w:left="0" w:right="0"/>
                    <w:jc w:val="center"/>
                    <w:rPr>
                      <w:bCs/>
                      <w:szCs w:val="21"/>
                    </w:rPr>
                  </w:pPr>
                  <w:r>
                    <w:rPr>
                      <w:bCs/>
                      <w:szCs w:val="21"/>
                    </w:rPr>
                    <w:t>厂界噪声</w:t>
                  </w:r>
                </w:p>
              </w:tc>
              <w:tc>
                <w:tcPr>
                  <w:tcW w:w="5212" w:type="dxa"/>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工业企业厂界环境噪声排放标准GB 12348-2008</w:t>
                  </w:r>
                </w:p>
              </w:tc>
              <w:tc>
                <w:tcPr>
                  <w:tcW w:w="1556" w:type="dxa"/>
                  <w:vAlign w:val="center"/>
                </w:tcPr>
                <w:p>
                  <w:pPr>
                    <w:keepNext w:val="0"/>
                    <w:keepLines w:val="0"/>
                    <w:suppressLineNumbers w:val="0"/>
                    <w:adjustRightInd w:val="0"/>
                    <w:snapToGrid w:val="0"/>
                    <w:spacing w:before="0" w:beforeAutospacing="0" w:after="0" w:afterAutospacing="0"/>
                    <w:ind w:left="0" w:right="0"/>
                    <w:jc w:val="center"/>
                    <w:rPr>
                      <w:bCs/>
                      <w:szCs w:val="21"/>
                    </w:rPr>
                  </w:pPr>
                  <w:r>
                    <w:rPr>
                      <w:szCs w:val="21"/>
                    </w:rPr>
                    <w:t>35</w:t>
                  </w:r>
                  <w:r>
                    <w:rPr>
                      <w:rFonts w:hint="eastAsia"/>
                      <w:szCs w:val="21"/>
                      <w:lang w:val="en-US" w:eastAsia="zh-CN"/>
                    </w:rPr>
                    <w:t xml:space="preserve"> </w:t>
                  </w:r>
                  <w:r>
                    <w:rPr>
                      <w:szCs w:val="21"/>
                    </w:rPr>
                    <w:t>dB</w:t>
                  </w:r>
                </w:p>
              </w:tc>
            </w:tr>
          </w:tbl>
          <w:p>
            <w:pPr>
              <w:pStyle w:val="4"/>
              <w:pageBreakBefore w:val="0"/>
              <w:widowControl w:val="0"/>
              <w:suppressLineNumbers w:val="0"/>
              <w:kinsoku/>
              <w:wordWrap/>
              <w:overflowPunct/>
              <w:topLinePunct w:val="0"/>
              <w:autoSpaceDE/>
              <w:autoSpaceDN/>
              <w:bidi w:val="0"/>
              <w:adjustRightInd/>
              <w:snapToGrid/>
              <w:spacing w:before="0" w:beforeAutospacing="0" w:after="0" w:afterAutospacing="0" w:line="384" w:lineRule="auto"/>
              <w:ind w:left="0" w:right="0" w:firstLine="480" w:firstLineChars="200"/>
              <w:textAlignment w:val="auto"/>
              <w:outlineLvl w:val="1"/>
              <w:rPr>
                <w:rFonts w:ascii="Times New Roman" w:hAnsi="Times New Roman"/>
                <w:b w:val="0"/>
                <w:bCs w:val="0"/>
                <w:kern w:val="0"/>
                <w:sz w:val="24"/>
                <w:szCs w:val="24"/>
              </w:rPr>
            </w:pPr>
            <w:bookmarkStart w:id="2" w:name="_Toc25167"/>
            <w:bookmarkStart w:id="3" w:name="_Toc12977"/>
            <w:bookmarkStart w:id="4" w:name="_Toc9516"/>
            <w:r>
              <w:rPr>
                <w:rFonts w:ascii="Times New Roman" w:hAnsi="Times New Roman"/>
                <w:b w:val="0"/>
                <w:bCs w:val="0"/>
                <w:kern w:val="0"/>
                <w:sz w:val="24"/>
                <w:szCs w:val="24"/>
              </w:rPr>
              <w:t>2、监测仪器</w:t>
            </w:r>
            <w:bookmarkEnd w:id="2"/>
            <w:bookmarkEnd w:id="3"/>
            <w:bookmarkEnd w:id="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4" w:lineRule="auto"/>
              <w:ind w:left="0" w:right="0" w:firstLine="480" w:firstLineChars="200"/>
              <w:textAlignment w:val="auto"/>
              <w:rPr>
                <w:bCs/>
                <w:kern w:val="0"/>
                <w:sz w:val="24"/>
                <w:szCs w:val="24"/>
              </w:rPr>
            </w:pPr>
            <w:r>
              <w:rPr>
                <w:bCs/>
                <w:kern w:val="0"/>
                <w:sz w:val="24"/>
                <w:szCs w:val="24"/>
              </w:rPr>
              <w:t>根据</w:t>
            </w:r>
            <w:r>
              <w:rPr>
                <w:kern w:val="0"/>
                <w:sz w:val="24"/>
                <w:szCs w:val="24"/>
              </w:rPr>
              <w:t>《检验检测机构资质认定能力评价 检验检测机构通用要求》（RB/T214-2017）</w:t>
            </w:r>
            <w:r>
              <w:rPr>
                <w:bCs/>
                <w:kern w:val="0"/>
                <w:sz w:val="24"/>
                <w:szCs w:val="24"/>
              </w:rPr>
              <w:t>的规定，建立了适合本公司的《仪器设备管理程序》、《仪器设备期间核查程序》等与仪器设备相关的程序，使设备的性能和状态符合检测技术要求，对仪器设备实施有效管理，参与项目的监测仪器均经有资质单位经过检定、校准合格后使用，并在规定的时间内根据实际情况落实各类期间核查计划，能保证监测数据的有效</w:t>
            </w:r>
            <w:r>
              <w:rPr>
                <w:rFonts w:hint="eastAsia"/>
                <w:bCs/>
                <w:kern w:val="0"/>
                <w:sz w:val="24"/>
                <w:szCs w:val="24"/>
              </w:rPr>
              <w:t>，</w:t>
            </w:r>
            <w:r>
              <w:rPr>
                <w:rFonts w:hint="eastAsia"/>
                <w:kern w:val="0"/>
                <w:sz w:val="24"/>
                <w:szCs w:val="24"/>
              </w:rPr>
              <w:t>监测期间使用的主要仪器设备见表5-2</w:t>
            </w:r>
            <w:r>
              <w:rPr>
                <w:bCs/>
                <w:kern w:val="0"/>
                <w:sz w:val="24"/>
                <w:szCs w:val="24"/>
              </w:rPr>
              <w:t>。</w:t>
            </w:r>
          </w:p>
          <w:p>
            <w:pPr>
              <w:pStyle w:val="51"/>
              <w:keepNext w:val="0"/>
              <w:keepLines w:val="0"/>
              <w:suppressLineNumbers w:val="0"/>
              <w:spacing w:before="0" w:beforeAutospacing="0" w:after="0" w:afterAutospacing="0" w:line="360" w:lineRule="auto"/>
              <w:ind w:left="0" w:right="0" w:firstLine="0" w:firstLineChars="0"/>
              <w:jc w:val="center"/>
              <w:rPr>
                <w:b/>
                <w:bCs/>
                <w:kern w:val="0"/>
                <w:szCs w:val="24"/>
              </w:rPr>
            </w:pPr>
            <w:r>
              <w:rPr>
                <w:rFonts w:hint="eastAsia"/>
                <w:b/>
                <w:bCs/>
                <w:kern w:val="0"/>
                <w:szCs w:val="24"/>
              </w:rPr>
              <w:t>表5</w:t>
            </w:r>
            <w:r>
              <w:rPr>
                <w:b/>
                <w:bCs/>
                <w:kern w:val="0"/>
                <w:szCs w:val="24"/>
              </w:rPr>
              <w:t>-</w:t>
            </w:r>
            <w:r>
              <w:rPr>
                <w:rFonts w:hint="eastAsia"/>
                <w:b/>
                <w:bCs/>
                <w:kern w:val="0"/>
                <w:szCs w:val="24"/>
              </w:rPr>
              <w:t>2</w:t>
            </w:r>
            <w:r>
              <w:rPr>
                <w:b/>
                <w:bCs/>
                <w:kern w:val="0"/>
                <w:szCs w:val="24"/>
              </w:rPr>
              <w:t xml:space="preserve"> </w:t>
            </w:r>
            <w:r>
              <w:rPr>
                <w:rFonts w:hint="eastAsia"/>
                <w:b/>
                <w:bCs/>
                <w:kern w:val="0"/>
                <w:szCs w:val="24"/>
              </w:rPr>
              <w:t>监测仪器设备一览表</w:t>
            </w:r>
          </w:p>
          <w:tbl>
            <w:tblPr>
              <w:tblStyle w:val="20"/>
              <w:tblW w:w="923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573"/>
              <w:gridCol w:w="1734"/>
              <w:gridCol w:w="2693"/>
              <w:gridCol w:w="2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trPr>
              <w:tc>
                <w:tcPr>
                  <w:tcW w:w="2573"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0" w:right="0"/>
                    <w:jc w:val="center"/>
                    <w:rPr>
                      <w:b/>
                      <w:bCs w:val="0"/>
                      <w:szCs w:val="21"/>
                    </w:rPr>
                  </w:pPr>
                  <w:r>
                    <w:rPr>
                      <w:b/>
                      <w:bCs w:val="0"/>
                      <w:szCs w:val="21"/>
                    </w:rPr>
                    <w:t>仪器名称</w:t>
                  </w:r>
                </w:p>
              </w:tc>
              <w:tc>
                <w:tcPr>
                  <w:tcW w:w="1734" w:type="dxa"/>
                  <w:tcBorders>
                    <w:tl2br w:val="nil"/>
                    <w:tr2bl w:val="nil"/>
                  </w:tcBorders>
                  <w:vAlign w:val="center"/>
                </w:tcPr>
                <w:p>
                  <w:pPr>
                    <w:keepNext w:val="0"/>
                    <w:keepLines w:val="0"/>
                    <w:suppressLineNumbers w:val="0"/>
                    <w:spacing w:before="0" w:beforeAutospacing="0" w:after="0" w:afterAutospacing="0"/>
                    <w:ind w:left="0" w:right="0"/>
                    <w:jc w:val="center"/>
                    <w:rPr>
                      <w:b/>
                      <w:bCs w:val="0"/>
                      <w:szCs w:val="21"/>
                    </w:rPr>
                  </w:pPr>
                  <w:r>
                    <w:rPr>
                      <w:b/>
                      <w:bCs w:val="0"/>
                      <w:szCs w:val="21"/>
                    </w:rPr>
                    <w:t>规格型号</w:t>
                  </w:r>
                </w:p>
              </w:tc>
              <w:tc>
                <w:tcPr>
                  <w:tcW w:w="2693"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0" w:right="0"/>
                    <w:jc w:val="center"/>
                    <w:rPr>
                      <w:b/>
                      <w:bCs w:val="0"/>
                      <w:szCs w:val="21"/>
                    </w:rPr>
                  </w:pPr>
                  <w:r>
                    <w:rPr>
                      <w:b/>
                      <w:bCs w:val="0"/>
                      <w:szCs w:val="21"/>
                    </w:rPr>
                    <w:t>监测因子</w:t>
                  </w:r>
                </w:p>
              </w:tc>
              <w:tc>
                <w:tcPr>
                  <w:tcW w:w="2235" w:type="dxa"/>
                  <w:tcBorders>
                    <w:tl2br w:val="nil"/>
                    <w:tr2bl w:val="nil"/>
                  </w:tcBorders>
                  <w:vAlign w:val="center"/>
                </w:tcPr>
                <w:p>
                  <w:pPr>
                    <w:keepNext w:val="0"/>
                    <w:keepLines w:val="0"/>
                    <w:suppressLineNumbers w:val="0"/>
                    <w:spacing w:before="0" w:beforeAutospacing="0" w:after="0" w:afterAutospacing="0"/>
                    <w:ind w:left="0" w:right="0" w:firstLine="13" w:firstLineChars="6"/>
                    <w:jc w:val="center"/>
                    <w:rPr>
                      <w:b/>
                      <w:bCs w:val="0"/>
                      <w:szCs w:val="21"/>
                    </w:rPr>
                  </w:pPr>
                  <w:r>
                    <w:rPr>
                      <w:b/>
                      <w:bCs w:val="0"/>
                      <w:szCs w:val="21"/>
                    </w:rPr>
                    <w:t>检定或校准情况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rPr>
              <w:tc>
                <w:tcPr>
                  <w:tcW w:w="2573"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0" w:right="0"/>
                    <w:jc w:val="center"/>
                    <w:rPr>
                      <w:szCs w:val="21"/>
                    </w:rPr>
                  </w:pPr>
                  <w:r>
                    <w:rPr>
                      <w:color w:val="000000"/>
                      <w:szCs w:val="21"/>
                      <w:shd w:val="clear" w:color="auto" w:fill="FFFFFF"/>
                    </w:rPr>
                    <w:t>电子天平</w:t>
                  </w:r>
                </w:p>
              </w:tc>
              <w:tc>
                <w:tcPr>
                  <w:tcW w:w="1734" w:type="dxa"/>
                  <w:tcBorders>
                    <w:tl2br w:val="nil"/>
                    <w:tr2bl w:val="nil"/>
                  </w:tcBorders>
                  <w:vAlign w:val="center"/>
                </w:tcPr>
                <w:p>
                  <w:pPr>
                    <w:keepNext w:val="0"/>
                    <w:keepLines w:val="0"/>
                    <w:suppressLineNumbers w:val="0"/>
                    <w:spacing w:before="0" w:beforeAutospacing="0" w:after="0" w:afterAutospacing="0"/>
                    <w:ind w:left="0" w:right="0"/>
                    <w:jc w:val="center"/>
                    <w:rPr>
                      <w:szCs w:val="21"/>
                    </w:rPr>
                  </w:pPr>
                  <w:r>
                    <w:rPr>
                      <w:color w:val="000000"/>
                      <w:szCs w:val="21"/>
                      <w:shd w:val="clear" w:color="auto" w:fill="FFFFFF"/>
                    </w:rPr>
                    <w:t>BSA224S</w:t>
                  </w:r>
                </w:p>
              </w:tc>
              <w:tc>
                <w:tcPr>
                  <w:tcW w:w="2693"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0" w:right="0"/>
                    <w:jc w:val="center"/>
                    <w:rPr>
                      <w:szCs w:val="21"/>
                    </w:rPr>
                  </w:pPr>
                  <w:r>
                    <w:rPr>
                      <w:szCs w:val="21"/>
                    </w:rPr>
                    <w:t>总悬浮颗粒物</w:t>
                  </w:r>
                </w:p>
              </w:tc>
              <w:tc>
                <w:tcPr>
                  <w:tcW w:w="2235" w:type="dxa"/>
                  <w:tcBorders>
                    <w:tl2br w:val="nil"/>
                    <w:tr2bl w:val="nil"/>
                  </w:tcBorders>
                  <w:vAlign w:val="center"/>
                </w:tcPr>
                <w:p>
                  <w:pPr>
                    <w:keepNext w:val="0"/>
                    <w:keepLines w:val="0"/>
                    <w:suppressLineNumbers w:val="0"/>
                    <w:spacing w:before="0" w:beforeAutospacing="0" w:after="0" w:afterAutospacing="0"/>
                    <w:ind w:left="0" w:right="0"/>
                    <w:jc w:val="center"/>
                    <w:rPr>
                      <w:szCs w:val="21"/>
                    </w:rPr>
                  </w:pPr>
                  <w:r>
                    <w:rPr>
                      <w:szCs w:val="21"/>
                    </w:rPr>
                    <w:t>检定合格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2573"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0" w:right="0"/>
                    <w:jc w:val="center"/>
                    <w:rPr>
                      <w:szCs w:val="21"/>
                    </w:rPr>
                  </w:pPr>
                  <w:r>
                    <w:rPr>
                      <w:szCs w:val="21"/>
                    </w:rPr>
                    <w:t>多功能声级计</w:t>
                  </w:r>
                </w:p>
              </w:tc>
              <w:tc>
                <w:tcPr>
                  <w:tcW w:w="1734" w:type="dxa"/>
                  <w:tcBorders>
                    <w:tl2br w:val="nil"/>
                    <w:tr2bl w:val="nil"/>
                  </w:tcBorders>
                  <w:vAlign w:val="center"/>
                </w:tcPr>
                <w:p>
                  <w:pPr>
                    <w:keepNext w:val="0"/>
                    <w:keepLines w:val="0"/>
                    <w:suppressLineNumbers w:val="0"/>
                    <w:spacing w:before="0" w:beforeAutospacing="0" w:after="0" w:afterAutospacing="0"/>
                    <w:ind w:left="0" w:right="0"/>
                    <w:jc w:val="center"/>
                    <w:rPr>
                      <w:szCs w:val="21"/>
                    </w:rPr>
                  </w:pPr>
                  <w:r>
                    <w:rPr>
                      <w:szCs w:val="21"/>
                    </w:rPr>
                    <w:t>AWA6228</w:t>
                  </w:r>
                </w:p>
              </w:tc>
              <w:tc>
                <w:tcPr>
                  <w:tcW w:w="2693" w:type="dxa"/>
                  <w:tcBorders>
                    <w:tl2br w:val="nil"/>
                    <w:tr2bl w:val="nil"/>
                  </w:tcBorders>
                  <w:tcMar>
                    <w:left w:w="28" w:type="dxa"/>
                    <w:right w:w="28" w:type="dxa"/>
                  </w:tcMar>
                  <w:vAlign w:val="center"/>
                </w:tcPr>
                <w:p>
                  <w:pPr>
                    <w:keepNext w:val="0"/>
                    <w:keepLines w:val="0"/>
                    <w:suppressLineNumbers w:val="0"/>
                    <w:spacing w:before="0" w:beforeAutospacing="0" w:after="0" w:afterAutospacing="0"/>
                    <w:ind w:left="0" w:right="0"/>
                    <w:jc w:val="center"/>
                    <w:rPr>
                      <w:szCs w:val="21"/>
                    </w:rPr>
                  </w:pPr>
                  <w:r>
                    <w:rPr>
                      <w:szCs w:val="21"/>
                    </w:rPr>
                    <w:t>厂界噪声</w:t>
                  </w:r>
                </w:p>
              </w:tc>
              <w:tc>
                <w:tcPr>
                  <w:tcW w:w="2235" w:type="dxa"/>
                  <w:tcBorders>
                    <w:tl2br w:val="nil"/>
                    <w:tr2bl w:val="nil"/>
                  </w:tcBorders>
                  <w:vAlign w:val="center"/>
                </w:tcPr>
                <w:p>
                  <w:pPr>
                    <w:keepNext w:val="0"/>
                    <w:keepLines w:val="0"/>
                    <w:suppressLineNumbers w:val="0"/>
                    <w:spacing w:before="0" w:beforeAutospacing="0" w:after="0" w:afterAutospacing="0"/>
                    <w:ind w:left="0" w:right="0"/>
                    <w:jc w:val="center"/>
                    <w:rPr>
                      <w:szCs w:val="21"/>
                    </w:rPr>
                  </w:pPr>
                  <w:r>
                    <w:rPr>
                      <w:szCs w:val="21"/>
                    </w:rPr>
                    <w:t>校准合格</w:t>
                  </w:r>
                </w:p>
              </w:tc>
            </w:tr>
          </w:tbl>
          <w:p>
            <w:pPr>
              <w:keepNext w:val="0"/>
              <w:keepLines w:val="0"/>
              <w:suppressLineNumbers w:val="0"/>
              <w:spacing w:before="0" w:beforeAutospacing="0" w:after="0" w:afterAutospacing="0"/>
              <w:ind w:left="0" w:right="0"/>
              <w:rPr>
                <w:kern w:val="0"/>
                <w:sz w:val="20"/>
                <w:szCs w:val="20"/>
              </w:rPr>
            </w:pPr>
          </w:p>
        </w:tc>
      </w:tr>
    </w:tbl>
    <w:p>
      <w:pPr>
        <w:pStyle w:val="3"/>
        <w:jc w:val="both"/>
        <w:rPr>
          <w:rFonts w:ascii="Times New Roman" w:hAnsi="Times New Roman"/>
          <w:szCs w:val="24"/>
        </w:rPr>
      </w:pPr>
      <w:r>
        <w:rPr>
          <w:rFonts w:hint="eastAsia" w:ascii="Times New Roman" w:hAnsi="Times New Roman"/>
          <w:lang w:val="en-US" w:eastAsia="zh-CN"/>
        </w:rPr>
        <w:t>续</w:t>
      </w:r>
      <w:r>
        <w:rPr>
          <w:rFonts w:ascii="Times New Roman" w:hAnsi="Times New Roman"/>
        </w:rPr>
        <w:t>表五</w:t>
      </w:r>
    </w:p>
    <w:tbl>
      <w:tblPr>
        <w:tblStyle w:val="21"/>
        <w:tblW w:w="942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422"/>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4004" w:hRule="atLeast"/>
          <w:jc w:val="center"/>
        </w:trPr>
        <w:tc>
          <w:tcPr>
            <w:tcW w:w="9422" w:type="dxa"/>
            <w:tcBorders>
              <w:tl2br w:val="nil"/>
              <w:tr2bl w:val="nil"/>
            </w:tcBorders>
            <w:vAlign w:val="top"/>
          </w:tcPr>
          <w:p>
            <w:pPr>
              <w:pStyle w:val="4"/>
              <w:suppressLineNumbers w:val="0"/>
              <w:spacing w:before="0" w:beforeAutospacing="0" w:after="0" w:afterAutospacing="0" w:line="360" w:lineRule="auto"/>
              <w:ind w:left="0" w:right="0" w:firstLine="480" w:firstLineChars="200"/>
              <w:outlineLvl w:val="1"/>
              <w:rPr>
                <w:rFonts w:ascii="Times New Roman" w:hAnsi="Times New Roman"/>
                <w:b w:val="0"/>
                <w:bCs w:val="0"/>
                <w:kern w:val="0"/>
                <w:sz w:val="24"/>
                <w:szCs w:val="24"/>
              </w:rPr>
            </w:pPr>
            <w:bookmarkStart w:id="5" w:name="_Toc12303"/>
            <w:bookmarkStart w:id="6" w:name="_Toc24126"/>
            <w:bookmarkStart w:id="7" w:name="_Toc23302"/>
            <w:r>
              <w:rPr>
                <w:rFonts w:ascii="Times New Roman" w:hAnsi="Times New Roman"/>
                <w:b w:val="0"/>
                <w:bCs w:val="0"/>
                <w:kern w:val="0"/>
                <w:sz w:val="24"/>
                <w:szCs w:val="24"/>
              </w:rPr>
              <w:t>3、人员资质</w:t>
            </w:r>
            <w:bookmarkEnd w:id="5"/>
            <w:bookmarkEnd w:id="6"/>
            <w:bookmarkEnd w:id="7"/>
          </w:p>
          <w:p>
            <w:pPr>
              <w:keepNext w:val="0"/>
              <w:keepLines w:val="0"/>
              <w:suppressLineNumbers w:val="0"/>
              <w:spacing w:before="0" w:beforeAutospacing="0" w:after="0" w:afterAutospacing="0" w:line="360" w:lineRule="auto"/>
              <w:ind w:left="0" w:right="0" w:firstLine="480" w:firstLineChars="200"/>
              <w:rPr>
                <w:bCs/>
                <w:kern w:val="0"/>
                <w:sz w:val="24"/>
                <w:szCs w:val="24"/>
              </w:rPr>
            </w:pPr>
            <w:r>
              <w:rPr>
                <w:bCs/>
                <w:kern w:val="0"/>
                <w:sz w:val="24"/>
                <w:szCs w:val="24"/>
              </w:rPr>
              <w:t>参与项目的采样、分析技术人员均参与浙江省环境监测协会、公司内部的培训，并通过考核、拥有相关领域的上岗证才能进行相关领域的监测工作，做到了执证上岗</w:t>
            </w:r>
            <w:r>
              <w:rPr>
                <w:rFonts w:hint="eastAsia"/>
                <w:bCs/>
                <w:kern w:val="0"/>
                <w:sz w:val="24"/>
                <w:szCs w:val="24"/>
              </w:rPr>
              <w:t>。</w:t>
            </w:r>
          </w:p>
          <w:p>
            <w:pPr>
              <w:pStyle w:val="4"/>
              <w:suppressLineNumbers w:val="0"/>
              <w:spacing w:before="0" w:beforeAutospacing="0" w:after="0" w:afterAutospacing="0" w:line="360" w:lineRule="auto"/>
              <w:ind w:left="0" w:right="0" w:firstLine="480" w:firstLineChars="200"/>
              <w:outlineLvl w:val="1"/>
              <w:rPr>
                <w:rFonts w:ascii="Times New Roman" w:hAnsi="Times New Roman"/>
                <w:b w:val="0"/>
                <w:bCs w:val="0"/>
                <w:kern w:val="0"/>
                <w:sz w:val="24"/>
                <w:szCs w:val="24"/>
              </w:rPr>
            </w:pPr>
            <w:bookmarkStart w:id="8" w:name="_Toc17361"/>
            <w:bookmarkStart w:id="9" w:name="_Toc16299"/>
            <w:bookmarkStart w:id="10" w:name="_Toc28601"/>
            <w:bookmarkStart w:id="11" w:name="_Toc22954"/>
            <w:bookmarkStart w:id="12" w:name="_Toc100"/>
            <w:r>
              <w:rPr>
                <w:rFonts w:hint="eastAsia" w:ascii="Times New Roman" w:hAnsi="Times New Roman"/>
                <w:b w:val="0"/>
                <w:bCs w:val="0"/>
                <w:kern w:val="0"/>
                <w:sz w:val="24"/>
                <w:szCs w:val="24"/>
                <w:lang w:val="en-US" w:eastAsia="zh-CN"/>
              </w:rPr>
              <w:t>4</w:t>
            </w:r>
            <w:r>
              <w:rPr>
                <w:rFonts w:ascii="Times New Roman" w:hAnsi="Times New Roman"/>
                <w:b w:val="0"/>
                <w:bCs w:val="0"/>
                <w:kern w:val="0"/>
                <w:sz w:val="24"/>
                <w:szCs w:val="24"/>
              </w:rPr>
              <w:t>、气体监测分析过程中的质量保证和质量控制</w:t>
            </w:r>
            <w:bookmarkEnd w:id="8"/>
            <w:bookmarkEnd w:id="9"/>
            <w:bookmarkEnd w:id="10"/>
            <w:bookmarkEnd w:id="11"/>
            <w:bookmarkEnd w:id="12"/>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kern w:val="0"/>
                <w:sz w:val="24"/>
                <w:szCs w:val="24"/>
              </w:rPr>
            </w:pPr>
            <w:r>
              <w:rPr>
                <w:kern w:val="0"/>
                <w:sz w:val="24"/>
                <w:szCs w:val="24"/>
              </w:rPr>
              <w:t>废气监测仪器均符合国家有关标准或技术要求，仪器经计量部门检定合格，并在检定有效期内使用，监测前对使用的仪器均进行浓度和流量校准，按规定对废气测试仪进行现场检漏，采样和分析过程严格按照《固定污染源排气中颗粒物测定与气态污染物采样方法》（GB/T 16157-1996）</w:t>
            </w:r>
            <w:r>
              <w:rPr>
                <w:rFonts w:hint="eastAsia"/>
                <w:kern w:val="0"/>
                <w:sz w:val="24"/>
                <w:szCs w:val="24"/>
                <w:lang w:val="en-US" w:eastAsia="zh-CN"/>
              </w:rPr>
              <w:t>及修改单</w:t>
            </w:r>
            <w:r>
              <w:rPr>
                <w:kern w:val="0"/>
                <w:sz w:val="24"/>
                <w:szCs w:val="24"/>
              </w:rPr>
              <w:t>、《固定污染源监测质量保证与质量控制技术规范（试行）》（HJ/T 373-2007）和《固定源废气监测技术规范》（HJ/T 397-2007）执行。</w:t>
            </w:r>
          </w:p>
          <w:p>
            <w:pPr>
              <w:pStyle w:val="4"/>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1"/>
              <w:rPr>
                <w:rFonts w:ascii="Times New Roman" w:hAnsi="Times New Roman"/>
                <w:b w:val="0"/>
                <w:bCs w:val="0"/>
                <w:kern w:val="0"/>
                <w:sz w:val="24"/>
                <w:szCs w:val="24"/>
              </w:rPr>
            </w:pPr>
            <w:bookmarkStart w:id="13" w:name="_Toc10214"/>
            <w:bookmarkStart w:id="14" w:name="_Toc32210"/>
            <w:bookmarkStart w:id="15" w:name="_Toc22278"/>
            <w:bookmarkStart w:id="16" w:name="_Toc10696"/>
            <w:bookmarkStart w:id="17" w:name="_Toc18925"/>
            <w:r>
              <w:rPr>
                <w:rFonts w:hint="eastAsia" w:ascii="Times New Roman" w:hAnsi="Times New Roman"/>
                <w:b w:val="0"/>
                <w:bCs w:val="0"/>
                <w:kern w:val="0"/>
                <w:sz w:val="24"/>
                <w:szCs w:val="24"/>
                <w:lang w:val="en-US" w:eastAsia="zh-CN"/>
              </w:rPr>
              <w:t>5</w:t>
            </w:r>
            <w:r>
              <w:rPr>
                <w:rFonts w:ascii="Times New Roman" w:hAnsi="Times New Roman"/>
                <w:b w:val="0"/>
                <w:bCs w:val="0"/>
                <w:kern w:val="0"/>
                <w:sz w:val="24"/>
                <w:szCs w:val="24"/>
              </w:rPr>
              <w:t>、噪声监测分析过程中的质量保证和质量控制</w:t>
            </w:r>
            <w:bookmarkEnd w:id="13"/>
            <w:bookmarkEnd w:id="14"/>
            <w:bookmarkEnd w:id="15"/>
            <w:bookmarkEnd w:id="16"/>
            <w:bookmarkEnd w:id="17"/>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kern w:val="0"/>
                <w:sz w:val="24"/>
                <w:szCs w:val="24"/>
              </w:rPr>
            </w:pPr>
            <w:r>
              <w:rPr>
                <w:kern w:val="0"/>
                <w:sz w:val="24"/>
                <w:szCs w:val="24"/>
              </w:rPr>
              <w:t>噪声监测仪器和校准仪器应经计量部门检定合格，并在检定有效期内使用，仪器使用前后必须在现场进行声学校准，噪声测试校准记录见表</w:t>
            </w:r>
            <w:r>
              <w:rPr>
                <w:rFonts w:hint="eastAsia"/>
                <w:kern w:val="0"/>
                <w:sz w:val="24"/>
                <w:szCs w:val="24"/>
              </w:rPr>
              <w:t>5</w:t>
            </w:r>
            <w:r>
              <w:rPr>
                <w:kern w:val="0"/>
                <w:sz w:val="24"/>
                <w:szCs w:val="24"/>
              </w:rPr>
              <w:t>-</w:t>
            </w:r>
            <w:r>
              <w:rPr>
                <w:rFonts w:hint="eastAsia"/>
                <w:kern w:val="0"/>
                <w:sz w:val="24"/>
                <w:szCs w:val="24"/>
                <w:lang w:val="en-US" w:eastAsia="zh-CN"/>
              </w:rPr>
              <w:t>3</w:t>
            </w:r>
            <w:r>
              <w:rPr>
                <w:kern w:val="0"/>
                <w:sz w:val="24"/>
                <w:szCs w:val="24"/>
              </w:rPr>
              <w:t>。</w:t>
            </w:r>
          </w:p>
          <w:p>
            <w:pPr>
              <w:keepNext w:val="0"/>
              <w:keepLines w:val="0"/>
              <w:suppressLineNumbers w:val="0"/>
              <w:spacing w:before="0" w:beforeAutospacing="0" w:after="31" w:afterLines="10" w:afterAutospacing="0" w:line="300" w:lineRule="exact"/>
              <w:ind w:left="0" w:right="0"/>
              <w:jc w:val="center"/>
              <w:rPr>
                <w:b/>
                <w:bCs w:val="0"/>
                <w:kern w:val="0"/>
                <w:sz w:val="24"/>
                <w:szCs w:val="20"/>
              </w:rPr>
            </w:pPr>
            <w:r>
              <w:rPr>
                <w:b/>
                <w:bCs w:val="0"/>
                <w:kern w:val="0"/>
                <w:sz w:val="24"/>
                <w:szCs w:val="20"/>
              </w:rPr>
              <w:t>表</w:t>
            </w:r>
            <w:r>
              <w:rPr>
                <w:rFonts w:hint="eastAsia"/>
                <w:b/>
                <w:bCs w:val="0"/>
                <w:kern w:val="0"/>
                <w:sz w:val="24"/>
                <w:szCs w:val="20"/>
              </w:rPr>
              <w:t>5</w:t>
            </w:r>
            <w:r>
              <w:rPr>
                <w:b/>
                <w:bCs w:val="0"/>
                <w:kern w:val="0"/>
                <w:sz w:val="24"/>
                <w:szCs w:val="20"/>
              </w:rPr>
              <w:t>-</w:t>
            </w:r>
            <w:r>
              <w:rPr>
                <w:rFonts w:hint="eastAsia"/>
                <w:b/>
                <w:bCs w:val="0"/>
                <w:kern w:val="0"/>
                <w:sz w:val="24"/>
                <w:szCs w:val="20"/>
                <w:lang w:val="en-US" w:eastAsia="zh-CN"/>
              </w:rPr>
              <w:t>3</w:t>
            </w:r>
            <w:r>
              <w:rPr>
                <w:b/>
                <w:bCs w:val="0"/>
                <w:kern w:val="0"/>
                <w:sz w:val="24"/>
                <w:szCs w:val="20"/>
              </w:rPr>
              <w:t xml:space="preserve"> 噪声测试校准记录表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00"/>
              <w:gridCol w:w="1730"/>
              <w:gridCol w:w="1581"/>
              <w:gridCol w:w="1708"/>
              <w:gridCol w:w="1578"/>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
                      <w:bCs w:val="0"/>
                      <w:color w:val="000000"/>
                      <w:kern w:val="0"/>
                      <w:szCs w:val="21"/>
                    </w:rPr>
                  </w:pPr>
                  <w:r>
                    <w:rPr>
                      <w:b/>
                      <w:bCs w:val="0"/>
                      <w:color w:val="000000"/>
                      <w:kern w:val="0"/>
                      <w:szCs w:val="21"/>
                    </w:rPr>
                    <w:t>监测日期</w:t>
                  </w:r>
                </w:p>
              </w:tc>
              <w:tc>
                <w:tcPr>
                  <w:tcW w:w="940"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校准器声级值</w:t>
                  </w:r>
                </w:p>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dB（A）</w:t>
                  </w:r>
                </w:p>
              </w:tc>
              <w:tc>
                <w:tcPr>
                  <w:tcW w:w="860"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测量前校准值</w:t>
                  </w:r>
                </w:p>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dB（A）</w:t>
                  </w:r>
                </w:p>
              </w:tc>
              <w:tc>
                <w:tcPr>
                  <w:tcW w:w="929"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测量后校准值</w:t>
                  </w:r>
                </w:p>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dB（A）</w:t>
                  </w:r>
                </w:p>
              </w:tc>
              <w:tc>
                <w:tcPr>
                  <w:tcW w:w="858"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校准示值偏差</w:t>
                  </w:r>
                </w:p>
                <w:p>
                  <w:pPr>
                    <w:keepNext w:val="0"/>
                    <w:keepLines w:val="0"/>
                    <w:suppressLineNumbers w:val="0"/>
                    <w:spacing w:before="0" w:beforeAutospacing="0" w:after="0" w:afterAutospacing="0"/>
                    <w:ind w:left="0" w:right="0"/>
                    <w:jc w:val="center"/>
                    <w:rPr>
                      <w:b/>
                      <w:bCs w:val="0"/>
                      <w:color w:val="000000"/>
                      <w:szCs w:val="21"/>
                    </w:rPr>
                  </w:pPr>
                  <w:r>
                    <w:rPr>
                      <w:b/>
                      <w:bCs w:val="0"/>
                      <w:color w:val="000000"/>
                      <w:szCs w:val="21"/>
                    </w:rPr>
                    <w:t>dB（A）</w:t>
                  </w:r>
                </w:p>
              </w:tc>
              <w:tc>
                <w:tcPr>
                  <w:tcW w:w="651" w:type="pct"/>
                  <w:tcMar>
                    <w:top w:w="15" w:type="dxa"/>
                    <w:left w:w="15" w:type="dxa"/>
                    <w:bottom w:w="0" w:type="dxa"/>
                    <w:right w:w="15" w:type="dxa"/>
                  </w:tcMar>
                  <w:vAlign w:val="center"/>
                </w:tcPr>
                <w:p>
                  <w:pPr>
                    <w:keepNext w:val="0"/>
                    <w:keepLines w:val="0"/>
                    <w:suppressLineNumbers w:val="0"/>
                    <w:adjustRightInd w:val="0"/>
                    <w:snapToGrid w:val="0"/>
                    <w:spacing w:before="0" w:beforeAutospacing="0" w:after="0" w:afterAutospacing="0"/>
                    <w:ind w:left="0" w:right="0"/>
                    <w:jc w:val="center"/>
                    <w:rPr>
                      <w:b/>
                      <w:bCs w:val="0"/>
                    </w:rPr>
                  </w:pPr>
                  <w:r>
                    <w:rPr>
                      <w:b/>
                      <w:bCs w:val="0"/>
                    </w:rPr>
                    <w:t>结果</w:t>
                  </w:r>
                </w:p>
                <w:p>
                  <w:pPr>
                    <w:keepNext w:val="0"/>
                    <w:keepLines w:val="0"/>
                    <w:suppressLineNumbers w:val="0"/>
                    <w:adjustRightInd w:val="0"/>
                    <w:snapToGrid w:val="0"/>
                    <w:spacing w:before="0" w:beforeAutospacing="0" w:after="0" w:afterAutospacing="0"/>
                    <w:ind w:left="0" w:right="0"/>
                    <w:jc w:val="center"/>
                    <w:rPr>
                      <w:b/>
                      <w:bCs w:val="0"/>
                      <w:color w:val="000000"/>
                      <w:szCs w:val="21"/>
                    </w:rPr>
                  </w:pPr>
                  <w:r>
                    <w:rPr>
                      <w:b/>
                      <w:bCs w:val="0"/>
                    </w:rPr>
                    <w:t>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61" w:type="pct"/>
                  <w:tcMar>
                    <w:top w:w="15" w:type="dxa"/>
                    <w:left w:w="15" w:type="dxa"/>
                    <w:bottom w:w="0" w:type="dxa"/>
                    <w:right w:w="15" w:type="dxa"/>
                  </w:tcMar>
                  <w:vAlign w:val="center"/>
                </w:tcPr>
                <w:p>
                  <w:pPr>
                    <w:keepNext w:val="0"/>
                    <w:keepLines w:val="0"/>
                    <w:suppressLineNumbers w:val="0"/>
                    <w:spacing w:before="0" w:beforeAutospacing="0" w:after="0" w:afterAutospacing="0" w:line="276" w:lineRule="auto"/>
                    <w:ind w:left="0" w:right="0"/>
                    <w:jc w:val="center"/>
                    <w:rPr>
                      <w:color w:val="000000"/>
                      <w:kern w:val="0"/>
                      <w:szCs w:val="21"/>
                    </w:rPr>
                  </w:pPr>
                  <w:r>
                    <w:rPr>
                      <w:rFonts w:hint="eastAsia"/>
                      <w:color w:val="000000"/>
                      <w:kern w:val="0"/>
                      <w:szCs w:val="21"/>
                      <w:lang w:bidi="zh-CN"/>
                    </w:rPr>
                    <w:t>2022-07-11</w:t>
                  </w:r>
                </w:p>
              </w:tc>
              <w:tc>
                <w:tcPr>
                  <w:tcW w:w="940"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94.00</w:t>
                  </w:r>
                </w:p>
              </w:tc>
              <w:tc>
                <w:tcPr>
                  <w:tcW w:w="860"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93.8</w:t>
                  </w:r>
                </w:p>
              </w:tc>
              <w:tc>
                <w:tcPr>
                  <w:tcW w:w="929"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Cs/>
                      <w:color w:val="000000"/>
                      <w:szCs w:val="21"/>
                    </w:rPr>
                  </w:pPr>
                  <w:r>
                    <w:rPr>
                      <w:color w:val="000000"/>
                      <w:szCs w:val="21"/>
                    </w:rPr>
                    <w:t>93.8</w:t>
                  </w:r>
                </w:p>
              </w:tc>
              <w:tc>
                <w:tcPr>
                  <w:tcW w:w="858" w:type="pct"/>
                  <w:vMerge w:val="restar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Cs/>
                      <w:color w:val="000000"/>
                      <w:szCs w:val="21"/>
                    </w:rPr>
                  </w:pPr>
                  <w:r>
                    <w:rPr>
                      <w:bCs/>
                      <w:color w:val="000000"/>
                      <w:szCs w:val="21"/>
                    </w:rPr>
                    <w:t>≤0.5</w:t>
                  </w:r>
                </w:p>
              </w:tc>
              <w:tc>
                <w:tcPr>
                  <w:tcW w:w="651" w:type="pct"/>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rPr>
                      <w:bCs/>
                      <w:color w:val="000000"/>
                      <w:szCs w:val="21"/>
                    </w:rPr>
                  </w:pPr>
                  <w: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61" w:type="pct"/>
                  <w:tcMar>
                    <w:top w:w="15" w:type="dxa"/>
                    <w:left w:w="15" w:type="dxa"/>
                    <w:bottom w:w="0" w:type="dxa"/>
                    <w:right w:w="15" w:type="dxa"/>
                  </w:tcMar>
                  <w:vAlign w:val="center"/>
                </w:tcPr>
                <w:p>
                  <w:pPr>
                    <w:keepNext w:val="0"/>
                    <w:keepLines w:val="0"/>
                    <w:suppressLineNumbers w:val="0"/>
                    <w:spacing w:before="0" w:beforeAutospacing="0" w:after="0" w:afterAutospacing="0" w:line="276" w:lineRule="auto"/>
                    <w:ind w:left="0" w:right="0"/>
                    <w:jc w:val="center"/>
                    <w:rPr>
                      <w:color w:val="000000"/>
                      <w:kern w:val="0"/>
                      <w:szCs w:val="21"/>
                    </w:rPr>
                  </w:pPr>
                  <w:r>
                    <w:rPr>
                      <w:rFonts w:hint="eastAsia"/>
                      <w:color w:val="000000"/>
                      <w:kern w:val="0"/>
                      <w:szCs w:val="21"/>
                      <w:lang w:bidi="zh-CN"/>
                    </w:rPr>
                    <w:t>2022-07-12</w:t>
                  </w:r>
                </w:p>
              </w:tc>
              <w:tc>
                <w:tcPr>
                  <w:tcW w:w="940"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94.00</w:t>
                  </w:r>
                </w:p>
              </w:tc>
              <w:tc>
                <w:tcPr>
                  <w:tcW w:w="860"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93.8</w:t>
                  </w:r>
                </w:p>
              </w:tc>
              <w:tc>
                <w:tcPr>
                  <w:tcW w:w="929" w:type="pct"/>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Cs/>
                      <w:color w:val="000000"/>
                      <w:szCs w:val="21"/>
                    </w:rPr>
                  </w:pPr>
                  <w:r>
                    <w:rPr>
                      <w:color w:val="000000"/>
                      <w:szCs w:val="21"/>
                    </w:rPr>
                    <w:t>93.8</w:t>
                  </w:r>
                </w:p>
              </w:tc>
              <w:tc>
                <w:tcPr>
                  <w:tcW w:w="858" w:type="pct"/>
                  <w:vMerge w:val="continue"/>
                  <w:tcMar>
                    <w:top w:w="15" w:type="dxa"/>
                    <w:left w:w="15" w:type="dxa"/>
                    <w:bottom w:w="0" w:type="dxa"/>
                    <w:right w:w="15" w:type="dxa"/>
                  </w:tcMar>
                  <w:vAlign w:val="center"/>
                </w:tcPr>
                <w:p>
                  <w:pPr>
                    <w:keepNext w:val="0"/>
                    <w:keepLines w:val="0"/>
                    <w:suppressLineNumbers w:val="0"/>
                    <w:spacing w:before="0" w:beforeAutospacing="0" w:after="0" w:afterAutospacing="0"/>
                    <w:ind w:left="0" w:right="0"/>
                    <w:jc w:val="center"/>
                    <w:rPr>
                      <w:bCs/>
                      <w:color w:val="000000"/>
                      <w:szCs w:val="21"/>
                    </w:rPr>
                  </w:pPr>
                </w:p>
              </w:tc>
              <w:tc>
                <w:tcPr>
                  <w:tcW w:w="651" w:type="pct"/>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center"/>
                    <w:rPr>
                      <w:bCs/>
                      <w:color w:val="000000"/>
                      <w:szCs w:val="21"/>
                    </w:rPr>
                  </w:pPr>
                  <w:r>
                    <w:t>合格</w:t>
                  </w:r>
                </w:p>
              </w:tc>
            </w:tr>
          </w:tbl>
          <w:p>
            <w:pPr>
              <w:keepNext w:val="0"/>
              <w:keepLines w:val="0"/>
              <w:suppressLineNumbers w:val="0"/>
              <w:spacing w:before="0" w:beforeAutospacing="0" w:after="0" w:afterAutospacing="0" w:line="360" w:lineRule="auto"/>
              <w:ind w:left="0" w:right="0" w:firstLine="480"/>
              <w:rPr>
                <w:kern w:val="0"/>
                <w:sz w:val="20"/>
                <w:szCs w:val="20"/>
              </w:rPr>
            </w:pPr>
          </w:p>
        </w:tc>
      </w:tr>
    </w:tbl>
    <w:p>
      <w:pPr>
        <w:outlineLvl w:val="0"/>
        <w:rPr>
          <w:b/>
          <w:sz w:val="24"/>
          <w:szCs w:val="24"/>
        </w:rPr>
        <w:sectPr>
          <w:pgSz w:w="11906" w:h="16838"/>
          <w:pgMar w:top="1134" w:right="1417" w:bottom="1134" w:left="1417" w:header="680" w:footer="992" w:gutter="0"/>
          <w:pgBorders>
            <w:top w:val="none" w:sz="0" w:space="0"/>
            <w:left w:val="none" w:sz="0" w:space="0"/>
            <w:bottom w:val="none" w:sz="0" w:space="0"/>
            <w:right w:val="none" w:sz="0" w:space="0"/>
          </w:pgBorders>
          <w:cols w:space="720" w:num="1"/>
          <w:docGrid w:type="lines" w:linePitch="312" w:charSpace="0"/>
        </w:sectPr>
      </w:pPr>
    </w:p>
    <w:p>
      <w:pPr>
        <w:outlineLvl w:val="0"/>
        <w:rPr>
          <w:b/>
          <w:sz w:val="24"/>
          <w:szCs w:val="24"/>
        </w:rPr>
      </w:pPr>
      <w:r>
        <w:rPr>
          <w:b/>
          <w:sz w:val="24"/>
          <w:szCs w:val="24"/>
        </w:rPr>
        <w:t xml:space="preserve">表六  </w:t>
      </w:r>
    </w:p>
    <w:tbl>
      <w:tblPr>
        <w:tblStyle w:val="21"/>
        <w:tblW w:w="94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4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948" w:hRule="atLeast"/>
          <w:jc w:val="center"/>
        </w:trPr>
        <w:tc>
          <w:tcPr>
            <w:tcW w:w="9422" w:type="dxa"/>
          </w:tcPr>
          <w:p>
            <w:pPr>
              <w:keepNext w:val="0"/>
              <w:keepLines w:val="0"/>
              <w:suppressLineNumbers w:val="0"/>
              <w:adjustRightInd w:val="0"/>
              <w:snapToGrid w:val="0"/>
              <w:spacing w:before="0" w:beforeAutospacing="0" w:after="0" w:afterAutospacing="0" w:line="360" w:lineRule="auto"/>
              <w:ind w:left="0" w:right="0"/>
              <w:jc w:val="left"/>
              <w:rPr>
                <w:b/>
                <w:bCs/>
                <w:kern w:val="0"/>
                <w:sz w:val="24"/>
                <w:szCs w:val="24"/>
              </w:rPr>
            </w:pPr>
            <w:r>
              <w:rPr>
                <w:b/>
                <w:bCs/>
                <w:kern w:val="0"/>
                <w:sz w:val="24"/>
                <w:szCs w:val="24"/>
              </w:rPr>
              <w:t>验收监测内容</w:t>
            </w:r>
            <w:r>
              <w:rPr>
                <w:rFonts w:hint="eastAsia"/>
                <w:b/>
                <w:bCs/>
                <w:kern w:val="0"/>
                <w:sz w:val="24"/>
                <w:szCs w:val="24"/>
              </w:rPr>
              <w:t>：</w:t>
            </w:r>
          </w:p>
          <w:p>
            <w:pPr>
              <w:keepNext w:val="0"/>
              <w:keepLines w:val="0"/>
              <w:suppressLineNumbers w:val="0"/>
              <w:adjustRightInd w:val="0"/>
              <w:snapToGrid w:val="0"/>
              <w:spacing w:before="0" w:beforeAutospacing="0" w:after="0" w:afterAutospacing="0" w:line="360" w:lineRule="auto"/>
              <w:ind w:left="0" w:right="0" w:firstLine="480" w:firstLineChars="200"/>
              <w:jc w:val="left"/>
              <w:rPr>
                <w:kern w:val="0"/>
                <w:sz w:val="24"/>
                <w:szCs w:val="24"/>
              </w:rPr>
            </w:pPr>
            <w:r>
              <w:rPr>
                <w:kern w:val="0"/>
                <w:sz w:val="24"/>
                <w:szCs w:val="24"/>
              </w:rPr>
              <w:t>1、废水监测内容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kern w:val="0"/>
                <w:sz w:val="24"/>
                <w:szCs w:val="20"/>
              </w:rPr>
            </w:pPr>
            <w:r>
              <w:rPr>
                <w:rFonts w:hint="eastAsia"/>
                <w:kern w:val="0"/>
                <w:sz w:val="24"/>
                <w:szCs w:val="20"/>
                <w:lang w:val="en-US" w:eastAsia="zh-CN"/>
              </w:rPr>
              <w:t>本项目生活污水经化粪池预处理后通过无动力生物滤池-人工湿地处理系统处理达标后全部进行回用；生产废水经三级沉淀、过滤处理后全部回用于稳定层搅拌站。对周边环境基本无影响。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kern w:val="0"/>
                <w:sz w:val="24"/>
                <w:szCs w:val="24"/>
              </w:rPr>
            </w:pPr>
            <w:r>
              <w:rPr>
                <w:kern w:val="0"/>
                <w:sz w:val="24"/>
                <w:szCs w:val="24"/>
              </w:rPr>
              <w:t>2、废气监测内容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b/>
                <w:bCs/>
                <w:kern w:val="0"/>
                <w:sz w:val="24"/>
                <w:szCs w:val="24"/>
              </w:rPr>
            </w:pPr>
            <w:r>
              <w:rPr>
                <w:kern w:val="0"/>
                <w:sz w:val="24"/>
                <w:szCs w:val="20"/>
              </w:rPr>
              <w:t>本项目废气监测因子及采样频次见</w:t>
            </w:r>
            <w:r>
              <w:rPr>
                <w:kern w:val="0"/>
                <w:sz w:val="24"/>
                <w:szCs w:val="24"/>
              </w:rPr>
              <w:t>表6-</w:t>
            </w:r>
            <w:r>
              <w:rPr>
                <w:rFonts w:hint="eastAsia"/>
                <w:kern w:val="0"/>
                <w:sz w:val="24"/>
                <w:szCs w:val="24"/>
                <w:lang w:val="en-US" w:eastAsia="zh-CN"/>
              </w:rPr>
              <w:t>1</w:t>
            </w:r>
            <w:r>
              <w:rPr>
                <w:kern w:val="0"/>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b/>
                <w:bCs/>
                <w:kern w:val="0"/>
                <w:sz w:val="24"/>
                <w:szCs w:val="24"/>
              </w:rPr>
            </w:pPr>
            <w:r>
              <w:rPr>
                <w:b/>
                <w:bCs/>
                <w:kern w:val="0"/>
                <w:sz w:val="24"/>
                <w:szCs w:val="20"/>
              </w:rPr>
              <w:t>表6-</w:t>
            </w:r>
            <w:r>
              <w:rPr>
                <w:rFonts w:hint="eastAsia"/>
                <w:b/>
                <w:bCs/>
                <w:kern w:val="0"/>
                <w:sz w:val="24"/>
                <w:szCs w:val="20"/>
                <w:lang w:val="en-US" w:eastAsia="zh-CN"/>
              </w:rPr>
              <w:t>1</w:t>
            </w:r>
            <w:r>
              <w:rPr>
                <w:b/>
                <w:bCs/>
                <w:kern w:val="0"/>
                <w:sz w:val="24"/>
                <w:szCs w:val="20"/>
              </w:rPr>
              <w:t xml:space="preserve">  废气监测因子及采样频次表</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3300"/>
              <w:gridCol w:w="2464"/>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点位编号</w:t>
                  </w:r>
                </w:p>
              </w:tc>
              <w:tc>
                <w:tcPr>
                  <w:tcW w:w="1795"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监测点位</w:t>
                  </w:r>
                </w:p>
              </w:tc>
              <w:tc>
                <w:tcPr>
                  <w:tcW w:w="1340"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监测项目</w:t>
                  </w:r>
                </w:p>
              </w:tc>
              <w:tc>
                <w:tcPr>
                  <w:tcW w:w="1188"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kern w:val="2"/>
                      <w:sz w:val="21"/>
                      <w:szCs w:val="21"/>
                      <w:lang w:val="en-US" w:eastAsia="zh-CN" w:bidi="ar-SA"/>
                    </w:rPr>
                  </w:pPr>
                  <w:r>
                    <w:rPr>
                      <w:rFonts w:hint="eastAsia" w:ascii="宋体" w:hAnsi="宋体"/>
                      <w:szCs w:val="21"/>
                    </w:rPr>
                    <w:t>○</w:t>
                  </w:r>
                  <w:r>
                    <w:rPr>
                      <w:rFonts w:hint="eastAsia"/>
                      <w:szCs w:val="21"/>
                      <w:lang w:val="en-US" w:eastAsia="zh-CN"/>
                    </w:rPr>
                    <w:t>1</w:t>
                  </w:r>
                  <w:r>
                    <w:rPr>
                      <w:szCs w:val="21"/>
                    </w:rPr>
                    <w:t>#</w:t>
                  </w:r>
                </w:p>
              </w:tc>
              <w:tc>
                <w:tcPr>
                  <w:tcW w:w="1795" w:type="pct"/>
                  <w:vAlign w:val="center"/>
                </w:tcPr>
                <w:p>
                  <w:pPr>
                    <w:keepNext w:val="0"/>
                    <w:keepLines w:val="0"/>
                    <w:suppressLineNumbers w:val="0"/>
                    <w:spacing w:before="0" w:beforeAutospacing="0" w:after="0" w:afterAutospacing="0"/>
                    <w:ind w:left="0" w:right="0"/>
                    <w:jc w:val="center"/>
                    <w:rPr>
                      <w:szCs w:val="21"/>
                    </w:rPr>
                  </w:pPr>
                  <w:r>
                    <w:rPr>
                      <w:szCs w:val="21"/>
                    </w:rPr>
                    <w:t>厂界</w:t>
                  </w:r>
                  <w:r>
                    <w:rPr>
                      <w:rFonts w:hint="eastAsia"/>
                      <w:szCs w:val="21"/>
                    </w:rPr>
                    <w:t>上风向</w:t>
                  </w:r>
                </w:p>
              </w:tc>
              <w:tc>
                <w:tcPr>
                  <w:tcW w:w="1340" w:type="pct"/>
                  <w:vMerge w:val="restart"/>
                  <w:vAlign w:val="center"/>
                </w:tcPr>
                <w:p>
                  <w:pPr>
                    <w:keepNext w:val="0"/>
                    <w:keepLines w:val="0"/>
                    <w:suppressLineNumbers w:val="0"/>
                    <w:spacing w:before="0" w:beforeAutospacing="0" w:after="0" w:afterAutospacing="0"/>
                    <w:ind w:left="0" w:right="0"/>
                    <w:jc w:val="center"/>
                    <w:rPr>
                      <w:color w:val="000000"/>
                      <w:kern w:val="0"/>
                      <w:szCs w:val="21"/>
                      <w:lang w:bidi="zh-CN"/>
                    </w:rPr>
                  </w:pPr>
                  <w:r>
                    <w:rPr>
                      <w:bCs/>
                      <w:color w:val="000000"/>
                      <w:kern w:val="0"/>
                      <w:szCs w:val="21"/>
                      <w:lang w:bidi="zh-CN"/>
                    </w:rPr>
                    <w:t>总悬浮颗粒物</w:t>
                  </w:r>
                </w:p>
              </w:tc>
              <w:tc>
                <w:tcPr>
                  <w:tcW w:w="1188" w:type="pct"/>
                  <w:vMerge w:val="restart"/>
                  <w:vAlign w:val="center"/>
                </w:tcPr>
                <w:p>
                  <w:pPr>
                    <w:keepNext w:val="0"/>
                    <w:keepLines w:val="0"/>
                    <w:suppressLineNumbers w:val="0"/>
                    <w:spacing w:before="0" w:beforeAutospacing="0" w:after="0" w:afterAutospacing="0"/>
                    <w:ind w:left="0" w:right="0"/>
                    <w:jc w:val="center"/>
                    <w:rPr>
                      <w:color w:val="000000"/>
                      <w:kern w:val="0"/>
                      <w:szCs w:val="21"/>
                      <w:lang w:bidi="zh-CN"/>
                    </w:rPr>
                  </w:pPr>
                  <w:r>
                    <w:rPr>
                      <w:color w:val="000000"/>
                      <w:szCs w:val="21"/>
                    </w:rPr>
                    <w:t>一天3次，2天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kern w:val="2"/>
                      <w:sz w:val="21"/>
                      <w:szCs w:val="21"/>
                      <w:lang w:val="en-US" w:eastAsia="zh-CN" w:bidi="ar-SA"/>
                    </w:rPr>
                  </w:pPr>
                  <w:r>
                    <w:rPr>
                      <w:rFonts w:hint="eastAsia" w:ascii="宋体" w:hAnsi="宋体"/>
                      <w:szCs w:val="21"/>
                    </w:rPr>
                    <w:t>○</w:t>
                  </w:r>
                  <w:r>
                    <w:rPr>
                      <w:rFonts w:hint="eastAsia"/>
                      <w:szCs w:val="21"/>
                      <w:lang w:val="en-US" w:eastAsia="zh-CN"/>
                    </w:rPr>
                    <w:t>2</w:t>
                  </w:r>
                  <w:r>
                    <w:rPr>
                      <w:szCs w:val="21"/>
                    </w:rPr>
                    <w:t>#</w:t>
                  </w:r>
                </w:p>
              </w:tc>
              <w:tc>
                <w:tcPr>
                  <w:tcW w:w="17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厂界下风向一</w:t>
                  </w:r>
                </w:p>
              </w:tc>
              <w:tc>
                <w:tcPr>
                  <w:tcW w:w="1340"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c>
                <w:tcPr>
                  <w:tcW w:w="1188" w:type="pct"/>
                  <w:vMerge w:val="continue"/>
                  <w:vAlign w:val="center"/>
                </w:tcPr>
                <w:p>
                  <w:pPr>
                    <w:keepNext w:val="0"/>
                    <w:keepLines w:val="0"/>
                    <w:suppressLineNumbers w:val="0"/>
                    <w:spacing w:before="0" w:beforeAutospacing="0" w:after="0" w:afterAutospacing="0"/>
                    <w:ind w:left="0" w:right="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kern w:val="2"/>
                      <w:sz w:val="21"/>
                      <w:szCs w:val="21"/>
                      <w:lang w:val="en-US" w:eastAsia="zh-CN" w:bidi="ar-SA"/>
                    </w:rPr>
                  </w:pPr>
                  <w:r>
                    <w:rPr>
                      <w:rFonts w:hint="eastAsia" w:ascii="宋体" w:hAnsi="宋体"/>
                      <w:szCs w:val="21"/>
                    </w:rPr>
                    <w:t>○</w:t>
                  </w:r>
                  <w:r>
                    <w:rPr>
                      <w:rFonts w:hint="eastAsia"/>
                      <w:szCs w:val="21"/>
                      <w:lang w:val="en-US" w:eastAsia="zh-CN"/>
                    </w:rPr>
                    <w:t>3</w:t>
                  </w:r>
                  <w:r>
                    <w:rPr>
                      <w:szCs w:val="21"/>
                    </w:rPr>
                    <w:t>#</w:t>
                  </w:r>
                </w:p>
              </w:tc>
              <w:tc>
                <w:tcPr>
                  <w:tcW w:w="17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厂界下风向二</w:t>
                  </w:r>
                </w:p>
              </w:tc>
              <w:tc>
                <w:tcPr>
                  <w:tcW w:w="1340"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c>
                <w:tcPr>
                  <w:tcW w:w="1188" w:type="pct"/>
                  <w:vMerge w:val="continue"/>
                  <w:vAlign w:val="center"/>
                </w:tcPr>
                <w:p>
                  <w:pPr>
                    <w:keepNext w:val="0"/>
                    <w:keepLines w:val="0"/>
                    <w:suppressLineNumbers w:val="0"/>
                    <w:spacing w:before="0" w:beforeAutospacing="0" w:after="0" w:afterAutospacing="0"/>
                    <w:ind w:left="0" w:right="0"/>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5"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kern w:val="2"/>
                      <w:sz w:val="21"/>
                      <w:szCs w:val="21"/>
                      <w:lang w:val="en-US" w:eastAsia="zh-CN" w:bidi="ar-SA"/>
                    </w:rPr>
                  </w:pPr>
                  <w:r>
                    <w:rPr>
                      <w:rFonts w:hint="eastAsia" w:ascii="宋体" w:hAnsi="宋体"/>
                      <w:szCs w:val="21"/>
                    </w:rPr>
                    <w:t>○</w:t>
                  </w:r>
                  <w:r>
                    <w:rPr>
                      <w:rFonts w:hint="eastAsia"/>
                      <w:szCs w:val="21"/>
                      <w:lang w:val="en-US" w:eastAsia="zh-CN"/>
                    </w:rPr>
                    <w:t>4</w:t>
                  </w:r>
                  <w:r>
                    <w:rPr>
                      <w:szCs w:val="21"/>
                    </w:rPr>
                    <w:t>#</w:t>
                  </w:r>
                </w:p>
              </w:tc>
              <w:tc>
                <w:tcPr>
                  <w:tcW w:w="17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厂界下风向三</w:t>
                  </w:r>
                </w:p>
              </w:tc>
              <w:tc>
                <w:tcPr>
                  <w:tcW w:w="1340"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c>
                <w:tcPr>
                  <w:tcW w:w="1188" w:type="pct"/>
                  <w:vMerge w:val="continue"/>
                  <w:vAlign w:val="center"/>
                </w:tcPr>
                <w:p>
                  <w:pPr>
                    <w:keepNext w:val="0"/>
                    <w:keepLines w:val="0"/>
                    <w:suppressLineNumbers w:val="0"/>
                    <w:spacing w:before="0" w:beforeAutospacing="0" w:after="0" w:afterAutospacing="0"/>
                    <w:ind w:left="0" w:right="0"/>
                    <w:jc w:val="center"/>
                    <w:rPr>
                      <w:color w:val="000000"/>
                      <w:szCs w:val="21"/>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kern w:val="0"/>
                <w:sz w:val="24"/>
                <w:szCs w:val="24"/>
              </w:rPr>
            </w:pPr>
            <w:r>
              <w:rPr>
                <w:kern w:val="0"/>
                <w:sz w:val="24"/>
                <w:szCs w:val="24"/>
              </w:rPr>
              <w:t>3、噪声监测内容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kern w:val="0"/>
                <w:sz w:val="24"/>
                <w:szCs w:val="24"/>
              </w:rPr>
            </w:pPr>
            <w:r>
              <w:rPr>
                <w:kern w:val="0"/>
                <w:sz w:val="24"/>
                <w:szCs w:val="24"/>
              </w:rPr>
              <w:t xml:space="preserve">    本项目</w:t>
            </w:r>
            <w:r>
              <w:rPr>
                <w:kern w:val="0"/>
                <w:sz w:val="24"/>
                <w:szCs w:val="20"/>
              </w:rPr>
              <w:t>噪声监测点位及频次见</w:t>
            </w:r>
            <w:r>
              <w:rPr>
                <w:kern w:val="0"/>
                <w:sz w:val="24"/>
                <w:szCs w:val="24"/>
              </w:rPr>
              <w:t>表6-</w:t>
            </w:r>
            <w:r>
              <w:rPr>
                <w:rFonts w:hint="eastAsia"/>
                <w:kern w:val="0"/>
                <w:sz w:val="24"/>
                <w:szCs w:val="24"/>
                <w:lang w:val="en-US" w:eastAsia="zh-CN"/>
              </w:rPr>
              <w:t>2</w:t>
            </w:r>
            <w:r>
              <w:rPr>
                <w:kern w:val="0"/>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b/>
                <w:bCs/>
                <w:kern w:val="0"/>
                <w:sz w:val="24"/>
                <w:szCs w:val="20"/>
              </w:rPr>
            </w:pPr>
            <w:r>
              <w:rPr>
                <w:b/>
                <w:bCs/>
                <w:kern w:val="0"/>
                <w:sz w:val="24"/>
                <w:szCs w:val="20"/>
              </w:rPr>
              <w:t>表</w:t>
            </w:r>
            <w:r>
              <w:rPr>
                <w:b/>
                <w:bCs/>
                <w:kern w:val="0"/>
                <w:sz w:val="24"/>
                <w:szCs w:val="24"/>
              </w:rPr>
              <w:t>6-</w:t>
            </w:r>
            <w:r>
              <w:rPr>
                <w:rFonts w:hint="eastAsia"/>
                <w:b/>
                <w:bCs/>
                <w:kern w:val="0"/>
                <w:sz w:val="24"/>
                <w:szCs w:val="24"/>
                <w:lang w:val="en-US" w:eastAsia="zh-CN"/>
              </w:rPr>
              <w:t>2</w:t>
            </w:r>
            <w:r>
              <w:rPr>
                <w:b/>
                <w:bCs/>
                <w:kern w:val="0"/>
                <w:sz w:val="24"/>
                <w:szCs w:val="24"/>
              </w:rPr>
              <w:t xml:space="preserve"> </w:t>
            </w:r>
            <w:r>
              <w:rPr>
                <w:b/>
                <w:bCs/>
                <w:kern w:val="0"/>
                <w:sz w:val="24"/>
                <w:szCs w:val="20"/>
              </w:rPr>
              <w:t xml:space="preserve"> 噪声监测点位及频次</w:t>
            </w:r>
          </w:p>
          <w:tbl>
            <w:tblPr>
              <w:tblStyle w:val="20"/>
              <w:tblpPr w:leftFromText="180" w:rightFromText="180" w:vertAnchor="text" w:horzAnchor="margin" w:tblpXSpec="center" w:tblpY="6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1"/>
              <w:gridCol w:w="2024"/>
              <w:gridCol w:w="2747"/>
              <w:gridCol w:w="2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9"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点位编号</w:t>
                  </w:r>
                </w:p>
              </w:tc>
              <w:tc>
                <w:tcPr>
                  <w:tcW w:w="1101"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监测点位</w:t>
                  </w:r>
                </w:p>
              </w:tc>
              <w:tc>
                <w:tcPr>
                  <w:tcW w:w="1494"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监测项目</w:t>
                  </w:r>
                </w:p>
              </w:tc>
              <w:tc>
                <w:tcPr>
                  <w:tcW w:w="1494" w:type="pct"/>
                  <w:vAlign w:val="center"/>
                </w:tcPr>
                <w:p>
                  <w:pPr>
                    <w:keepNext w:val="0"/>
                    <w:keepLines w:val="0"/>
                    <w:suppressLineNumbers w:val="0"/>
                    <w:spacing w:before="0" w:beforeAutospacing="0" w:after="0" w:afterAutospacing="0"/>
                    <w:ind w:left="0" w:right="0"/>
                    <w:jc w:val="center"/>
                    <w:rPr>
                      <w:b/>
                      <w:bCs w:val="0"/>
                      <w:color w:val="000000"/>
                      <w:kern w:val="0"/>
                      <w:szCs w:val="21"/>
                      <w:lang w:bidi="zh-CN"/>
                    </w:rPr>
                  </w:pPr>
                  <w:r>
                    <w:rPr>
                      <w:b/>
                      <w:bCs w:val="0"/>
                      <w:color w:val="000000"/>
                      <w:kern w:val="0"/>
                      <w:szCs w:val="21"/>
                      <w:lang w:bidi="zh-CN"/>
                    </w:rPr>
                    <w:t>监测周期和频次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9"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kern w:val="2"/>
                      <w:sz w:val="21"/>
                      <w:szCs w:val="21"/>
                      <w:lang w:val="en-US" w:eastAsia="zh-CN" w:bidi="ar-SA"/>
                    </w:rPr>
                  </w:pPr>
                  <w:r>
                    <w:rPr>
                      <w:rFonts w:hint="eastAsia"/>
                      <w:szCs w:val="21"/>
                    </w:rPr>
                    <w:t>▲5</w:t>
                  </w:r>
                  <w:r>
                    <w:rPr>
                      <w:szCs w:val="21"/>
                    </w:rPr>
                    <w:t>#</w:t>
                  </w:r>
                </w:p>
              </w:tc>
              <w:tc>
                <w:tcPr>
                  <w:tcW w:w="1101"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spacing w:val="-2"/>
                      <w:kern w:val="2"/>
                      <w:sz w:val="21"/>
                      <w:szCs w:val="21"/>
                      <w:lang w:val="en-US" w:eastAsia="zh-CN" w:bidi="ar-SA"/>
                    </w:rPr>
                  </w:pPr>
                  <w:r>
                    <w:rPr>
                      <w:rFonts w:hint="eastAsia"/>
                      <w:spacing w:val="-2"/>
                      <w:szCs w:val="21"/>
                    </w:rPr>
                    <w:t>厂界一</w:t>
                  </w:r>
                </w:p>
              </w:tc>
              <w:tc>
                <w:tcPr>
                  <w:tcW w:w="1494" w:type="pct"/>
                  <w:vMerge w:val="restart"/>
                  <w:vAlign w:val="center"/>
                </w:tcPr>
                <w:p>
                  <w:pPr>
                    <w:keepNext w:val="0"/>
                    <w:keepLines w:val="0"/>
                    <w:suppressLineNumbers w:val="0"/>
                    <w:spacing w:before="0" w:beforeAutospacing="0" w:after="0" w:afterAutospacing="0"/>
                    <w:ind w:left="0" w:right="0"/>
                    <w:jc w:val="center"/>
                    <w:rPr>
                      <w:color w:val="000000"/>
                      <w:kern w:val="0"/>
                      <w:szCs w:val="21"/>
                      <w:lang w:bidi="zh-CN"/>
                    </w:rPr>
                  </w:pPr>
                  <w:r>
                    <w:rPr>
                      <w:rFonts w:hint="eastAsia"/>
                      <w:color w:val="000000"/>
                      <w:kern w:val="0"/>
                      <w:szCs w:val="21"/>
                      <w:lang w:bidi="zh-CN"/>
                    </w:rPr>
                    <w:t>昼</w:t>
                  </w:r>
                  <w:r>
                    <w:rPr>
                      <w:rFonts w:hint="eastAsia"/>
                      <w:color w:val="000000"/>
                      <w:kern w:val="0"/>
                      <w:szCs w:val="21"/>
                      <w:lang w:val="en-US" w:bidi="zh-CN"/>
                    </w:rPr>
                    <w:t>间</w:t>
                  </w:r>
                  <w:r>
                    <w:rPr>
                      <w:color w:val="000000"/>
                      <w:kern w:val="0"/>
                      <w:szCs w:val="21"/>
                      <w:lang w:bidi="zh-CN"/>
                    </w:rPr>
                    <w:t>噪声</w:t>
                  </w:r>
                </w:p>
              </w:tc>
              <w:tc>
                <w:tcPr>
                  <w:tcW w:w="1494" w:type="pct"/>
                  <w:vMerge w:val="restart"/>
                  <w:vAlign w:val="center"/>
                </w:tcPr>
                <w:p>
                  <w:pPr>
                    <w:keepNext w:val="0"/>
                    <w:keepLines w:val="0"/>
                    <w:suppressLineNumbers w:val="0"/>
                    <w:spacing w:before="0" w:beforeAutospacing="0" w:after="0" w:afterAutospacing="0"/>
                    <w:ind w:left="0" w:right="0"/>
                    <w:jc w:val="center"/>
                    <w:rPr>
                      <w:color w:val="000000"/>
                      <w:kern w:val="0"/>
                      <w:szCs w:val="21"/>
                      <w:lang w:bidi="zh-CN"/>
                    </w:rPr>
                  </w:pPr>
                  <w:r>
                    <w:rPr>
                      <w:rFonts w:hint="eastAsia"/>
                      <w:color w:val="000000"/>
                      <w:szCs w:val="21"/>
                      <w:lang w:val="en-US" w:eastAsia="zh-CN"/>
                    </w:rPr>
                    <w:t>昼夜各</w:t>
                  </w:r>
                  <w:r>
                    <w:rPr>
                      <w:color w:val="000000"/>
                      <w:szCs w:val="21"/>
                    </w:rPr>
                    <w:t>1次</w:t>
                  </w:r>
                  <w:r>
                    <w:rPr>
                      <w:szCs w:val="21"/>
                    </w:rPr>
                    <w:t>，2天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9" w:type="pc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szCs w:val="21"/>
                    </w:rPr>
                    <w:t>▲6#</w:t>
                  </w:r>
                </w:p>
              </w:tc>
              <w:tc>
                <w:tcPr>
                  <w:tcW w:w="1101"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spacing w:val="-2"/>
                      <w:kern w:val="2"/>
                      <w:sz w:val="21"/>
                      <w:szCs w:val="21"/>
                      <w:lang w:val="en-US" w:eastAsia="zh-CN" w:bidi="ar-SA"/>
                    </w:rPr>
                  </w:pPr>
                  <w:r>
                    <w:rPr>
                      <w:rFonts w:hint="eastAsia"/>
                      <w:spacing w:val="-2"/>
                      <w:szCs w:val="21"/>
                    </w:rPr>
                    <w:t>厂界二</w:t>
                  </w:r>
                </w:p>
              </w:tc>
              <w:tc>
                <w:tcPr>
                  <w:tcW w:w="1494"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c>
                <w:tcPr>
                  <w:tcW w:w="1494"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9"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kern w:val="2"/>
                      <w:sz w:val="21"/>
                      <w:szCs w:val="21"/>
                      <w:lang w:val="en-US" w:eastAsia="zh-CN" w:bidi="ar-SA"/>
                    </w:rPr>
                  </w:pPr>
                  <w:r>
                    <w:rPr>
                      <w:rFonts w:hint="eastAsia"/>
                      <w:szCs w:val="21"/>
                    </w:rPr>
                    <w:t>▲7</w:t>
                  </w:r>
                  <w:r>
                    <w:rPr>
                      <w:szCs w:val="21"/>
                    </w:rPr>
                    <w:t>#</w:t>
                  </w:r>
                </w:p>
              </w:tc>
              <w:tc>
                <w:tcPr>
                  <w:tcW w:w="1101"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spacing w:val="-2"/>
                      <w:kern w:val="2"/>
                      <w:sz w:val="21"/>
                      <w:szCs w:val="21"/>
                      <w:lang w:val="en-US" w:eastAsia="zh-CN" w:bidi="ar-SA"/>
                    </w:rPr>
                  </w:pPr>
                  <w:r>
                    <w:rPr>
                      <w:rFonts w:hint="eastAsia"/>
                      <w:spacing w:val="-2"/>
                      <w:szCs w:val="21"/>
                    </w:rPr>
                    <w:t>厂界三</w:t>
                  </w:r>
                </w:p>
              </w:tc>
              <w:tc>
                <w:tcPr>
                  <w:tcW w:w="1494"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c>
                <w:tcPr>
                  <w:tcW w:w="1494"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9" w:type="pct"/>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szCs w:val="21"/>
                    </w:rPr>
                    <w:t>▲8#</w:t>
                  </w:r>
                </w:p>
              </w:tc>
              <w:tc>
                <w:tcPr>
                  <w:tcW w:w="1101" w:type="pct"/>
                  <w:vAlign w:val="center"/>
                </w:tcPr>
                <w:p>
                  <w:pPr>
                    <w:keepNext w:val="0"/>
                    <w:keepLines w:val="0"/>
                    <w:suppressLineNumbers w:val="0"/>
                    <w:spacing w:before="0" w:beforeAutospacing="0" w:after="0" w:afterAutospacing="0"/>
                    <w:ind w:left="0" w:right="0"/>
                    <w:jc w:val="center"/>
                    <w:rPr>
                      <w:rFonts w:ascii="Times New Roman" w:hAnsi="Times New Roman" w:eastAsia="宋体" w:cs="Times New Roman"/>
                      <w:spacing w:val="-2"/>
                      <w:kern w:val="2"/>
                      <w:sz w:val="21"/>
                      <w:szCs w:val="21"/>
                      <w:lang w:val="en-US" w:eastAsia="zh-CN" w:bidi="ar-SA"/>
                    </w:rPr>
                  </w:pPr>
                  <w:r>
                    <w:rPr>
                      <w:rFonts w:hint="eastAsia"/>
                      <w:spacing w:val="-2"/>
                      <w:szCs w:val="21"/>
                    </w:rPr>
                    <w:t>厂界四</w:t>
                  </w:r>
                </w:p>
              </w:tc>
              <w:tc>
                <w:tcPr>
                  <w:tcW w:w="1494"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c>
                <w:tcPr>
                  <w:tcW w:w="1494" w:type="pct"/>
                  <w:vMerge w:val="continue"/>
                  <w:vAlign w:val="center"/>
                </w:tcPr>
                <w:p>
                  <w:pPr>
                    <w:keepNext w:val="0"/>
                    <w:keepLines w:val="0"/>
                    <w:suppressLineNumbers w:val="0"/>
                    <w:spacing w:before="0" w:beforeAutospacing="0" w:after="0" w:afterAutospacing="0"/>
                    <w:ind w:left="0" w:right="0"/>
                    <w:jc w:val="center"/>
                    <w:rPr>
                      <w:color w:val="000000"/>
                      <w:kern w:val="0"/>
                      <w:szCs w:val="21"/>
                      <w:lang w:bidi="zh-CN"/>
                    </w:rPr>
                  </w:pPr>
                </w:p>
              </w:tc>
            </w:tr>
          </w:tbl>
          <w:p>
            <w:pPr>
              <w:keepNext w:val="0"/>
              <w:keepLines w:val="0"/>
              <w:suppressLineNumbers w:val="0"/>
              <w:adjustRightInd w:val="0"/>
              <w:snapToGrid w:val="0"/>
              <w:spacing w:before="0" w:beforeAutospacing="0" w:after="0" w:afterAutospacing="0" w:line="360" w:lineRule="auto"/>
              <w:ind w:left="0" w:right="0"/>
              <w:rPr>
                <w:b/>
                <w:bCs/>
                <w:kern w:val="0"/>
                <w:sz w:val="24"/>
                <w:szCs w:val="24"/>
              </w:rPr>
            </w:pPr>
          </w:p>
        </w:tc>
      </w:tr>
    </w:tbl>
    <w:p>
      <w:pPr>
        <w:outlineLvl w:val="0"/>
        <w:rPr>
          <w:b/>
          <w:sz w:val="24"/>
          <w:szCs w:val="24"/>
        </w:rPr>
      </w:pPr>
      <w:r>
        <w:rPr>
          <w:b/>
          <w:sz w:val="24"/>
          <w:szCs w:val="24"/>
        </w:rPr>
        <w:t xml:space="preserve">表七  </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772" w:hRule="atLeast"/>
          <w:jc w:val="center"/>
        </w:trPr>
        <w:tc>
          <w:tcPr>
            <w:tcW w:w="9288" w:type="dxa"/>
          </w:tcPr>
          <w:p>
            <w:pPr>
              <w:keepNext w:val="0"/>
              <w:keepLines w:val="0"/>
              <w:suppressLineNumbers w:val="0"/>
              <w:spacing w:before="0" w:beforeAutospacing="0" w:after="0" w:afterAutospacing="0" w:line="360" w:lineRule="auto"/>
              <w:ind w:left="0" w:right="0"/>
              <w:rPr>
                <w:b/>
                <w:bCs/>
                <w:sz w:val="24"/>
              </w:rPr>
            </w:pPr>
            <w:r>
              <w:rPr>
                <w:b/>
                <w:bCs/>
                <w:sz w:val="24"/>
              </w:rPr>
              <w:t>验收监测期间生产工况记录：</w:t>
            </w:r>
          </w:p>
          <w:p>
            <w:pPr>
              <w:keepNext w:val="0"/>
              <w:keepLines w:val="0"/>
              <w:suppressLineNumbers w:val="0"/>
              <w:spacing w:before="0" w:beforeAutospacing="0" w:after="0" w:afterAutospacing="0" w:line="360" w:lineRule="auto"/>
              <w:ind w:left="0" w:right="0" w:firstLine="480" w:firstLineChars="200"/>
              <w:rPr>
                <w:color w:val="000000"/>
                <w:kern w:val="0"/>
                <w:sz w:val="24"/>
                <w:szCs w:val="24"/>
                <w:lang w:bidi="zh-CN"/>
              </w:rPr>
            </w:pPr>
            <w:r>
              <w:rPr>
                <w:sz w:val="24"/>
                <w:szCs w:val="24"/>
              </w:rPr>
              <w:t>根据企业提供的相关资料（见附件</w:t>
            </w:r>
            <w:r>
              <w:rPr>
                <w:rFonts w:hint="eastAsia"/>
                <w:sz w:val="24"/>
                <w:szCs w:val="24"/>
                <w:lang w:val="en-US" w:eastAsia="zh-CN"/>
              </w:rPr>
              <w:t>二</w:t>
            </w:r>
            <w:r>
              <w:rPr>
                <w:sz w:val="24"/>
                <w:szCs w:val="24"/>
              </w:rPr>
              <w:t>）及现场调查，验收监测期间（</w:t>
            </w:r>
            <w:r>
              <w:rPr>
                <w:rFonts w:hint="eastAsia"/>
                <w:color w:val="000000"/>
                <w:kern w:val="0"/>
                <w:sz w:val="24"/>
                <w:szCs w:val="24"/>
                <w:lang w:bidi="zh-CN"/>
              </w:rPr>
              <w:t>2022年7月11日~12日</w:t>
            </w:r>
            <w:r>
              <w:rPr>
                <w:sz w:val="24"/>
                <w:szCs w:val="24"/>
              </w:rPr>
              <w:t>）</w:t>
            </w:r>
            <w:r>
              <w:rPr>
                <w:rFonts w:hint="eastAsia"/>
                <w:sz w:val="24"/>
                <w:szCs w:val="24"/>
              </w:rPr>
              <w:t>，企业</w:t>
            </w:r>
            <w:r>
              <w:rPr>
                <w:sz w:val="24"/>
                <w:szCs w:val="24"/>
              </w:rPr>
              <w:t>生产工况见表</w:t>
            </w:r>
            <w:r>
              <w:rPr>
                <w:rFonts w:hint="eastAsia"/>
                <w:sz w:val="24"/>
                <w:szCs w:val="24"/>
              </w:rPr>
              <w:t>7</w:t>
            </w:r>
            <w:r>
              <w:rPr>
                <w:sz w:val="24"/>
                <w:szCs w:val="24"/>
              </w:rPr>
              <w:t>-1。</w:t>
            </w:r>
          </w:p>
          <w:p>
            <w:pPr>
              <w:keepNext w:val="0"/>
              <w:keepLines w:val="0"/>
              <w:suppressLineNumbers w:val="0"/>
              <w:spacing w:before="0" w:beforeAutospacing="0" w:after="0" w:afterAutospacing="0"/>
              <w:ind w:left="0" w:right="0"/>
              <w:jc w:val="center"/>
              <w:rPr>
                <w:b/>
                <w:bCs/>
                <w:color w:val="000000"/>
                <w:kern w:val="0"/>
                <w:sz w:val="24"/>
                <w:szCs w:val="24"/>
                <w:lang w:bidi="zh-CN"/>
              </w:rPr>
            </w:pPr>
            <w:r>
              <w:rPr>
                <w:b/>
                <w:bCs/>
                <w:color w:val="000000"/>
                <w:kern w:val="0"/>
                <w:sz w:val="24"/>
                <w:szCs w:val="24"/>
                <w:lang w:bidi="zh-CN"/>
              </w:rPr>
              <w:t>表7-1 监测期间工况</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8"/>
              <w:gridCol w:w="1194"/>
              <w:gridCol w:w="1223"/>
              <w:gridCol w:w="1225"/>
              <w:gridCol w:w="1321"/>
              <w:gridCol w:w="1312"/>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pct"/>
                  <w:vMerge w:val="restart"/>
                  <w:vAlign w:val="center"/>
                </w:tcPr>
                <w:p>
                  <w:pPr>
                    <w:keepNext w:val="0"/>
                    <w:keepLines w:val="0"/>
                    <w:suppressLineNumbers w:val="0"/>
                    <w:spacing w:before="0" w:beforeAutospacing="0" w:after="0" w:afterAutospacing="0"/>
                    <w:ind w:left="0" w:right="0"/>
                    <w:jc w:val="center"/>
                    <w:rPr>
                      <w:b/>
                      <w:bCs/>
                      <w:szCs w:val="21"/>
                    </w:rPr>
                  </w:pPr>
                  <w:r>
                    <w:rPr>
                      <w:b/>
                      <w:bCs/>
                      <w:szCs w:val="21"/>
                    </w:rPr>
                    <w:t>产品名称</w:t>
                  </w:r>
                </w:p>
              </w:tc>
              <w:tc>
                <w:tcPr>
                  <w:tcW w:w="659" w:type="pct"/>
                  <w:vMerge w:val="restart"/>
                  <w:vAlign w:val="center"/>
                </w:tcPr>
                <w:p>
                  <w:pPr>
                    <w:keepNext w:val="0"/>
                    <w:keepLines w:val="0"/>
                    <w:suppressLineNumbers w:val="0"/>
                    <w:spacing w:before="0" w:beforeAutospacing="0" w:after="0" w:afterAutospacing="0"/>
                    <w:ind w:left="0" w:right="0"/>
                    <w:jc w:val="center"/>
                    <w:rPr>
                      <w:b/>
                      <w:bCs/>
                      <w:szCs w:val="21"/>
                    </w:rPr>
                  </w:pPr>
                  <w:r>
                    <w:rPr>
                      <w:b/>
                      <w:bCs/>
                      <w:szCs w:val="21"/>
                    </w:rPr>
                    <w:t>批复</w:t>
                  </w:r>
                </w:p>
                <w:p>
                  <w:pPr>
                    <w:keepNext w:val="0"/>
                    <w:keepLines w:val="0"/>
                    <w:suppressLineNumbers w:val="0"/>
                    <w:spacing w:before="0" w:beforeAutospacing="0" w:after="0" w:afterAutospacing="0"/>
                    <w:ind w:left="0" w:right="0"/>
                    <w:jc w:val="center"/>
                    <w:rPr>
                      <w:b/>
                      <w:bCs/>
                      <w:szCs w:val="21"/>
                    </w:rPr>
                  </w:pPr>
                  <w:r>
                    <w:rPr>
                      <w:b/>
                      <w:bCs/>
                      <w:szCs w:val="21"/>
                    </w:rPr>
                    <w:t>年产量</w:t>
                  </w:r>
                </w:p>
              </w:tc>
              <w:tc>
                <w:tcPr>
                  <w:tcW w:w="675" w:type="pct"/>
                  <w:vMerge w:val="restart"/>
                  <w:vAlign w:val="center"/>
                </w:tcPr>
                <w:p>
                  <w:pPr>
                    <w:keepNext w:val="0"/>
                    <w:keepLines w:val="0"/>
                    <w:suppressLineNumbers w:val="0"/>
                    <w:spacing w:before="0" w:beforeAutospacing="0" w:after="0" w:afterAutospacing="0"/>
                    <w:ind w:left="0" w:right="0"/>
                    <w:jc w:val="center"/>
                    <w:rPr>
                      <w:b/>
                      <w:bCs/>
                      <w:szCs w:val="21"/>
                    </w:rPr>
                  </w:pPr>
                  <w:r>
                    <w:rPr>
                      <w:b/>
                      <w:bCs/>
                      <w:szCs w:val="21"/>
                    </w:rPr>
                    <w:t>折合日产量</w:t>
                  </w:r>
                </w:p>
              </w:tc>
              <w:tc>
                <w:tcPr>
                  <w:tcW w:w="1405" w:type="pct"/>
                  <w:gridSpan w:val="2"/>
                  <w:vAlign w:val="center"/>
                </w:tcPr>
                <w:p>
                  <w:pPr>
                    <w:keepNext w:val="0"/>
                    <w:keepLines w:val="0"/>
                    <w:suppressLineNumbers w:val="0"/>
                    <w:spacing w:before="0" w:beforeAutospacing="0" w:after="0" w:afterAutospacing="0"/>
                    <w:ind w:left="0" w:right="0"/>
                    <w:jc w:val="center"/>
                    <w:rPr>
                      <w:rFonts w:hint="eastAsia" w:eastAsia="宋体"/>
                      <w:b/>
                      <w:bCs/>
                      <w:szCs w:val="21"/>
                      <w:lang w:eastAsia="zh-CN"/>
                    </w:rPr>
                  </w:pPr>
                  <w:r>
                    <w:rPr>
                      <w:rFonts w:hint="eastAsia"/>
                      <w:b/>
                      <w:bCs/>
                      <w:szCs w:val="21"/>
                      <w:lang w:eastAsia="zh-CN"/>
                    </w:rPr>
                    <w:t>2022-7-11</w:t>
                  </w:r>
                </w:p>
              </w:tc>
              <w:tc>
                <w:tcPr>
                  <w:tcW w:w="1448" w:type="pct"/>
                  <w:gridSpan w:val="2"/>
                  <w:vAlign w:val="center"/>
                </w:tcPr>
                <w:p>
                  <w:pPr>
                    <w:keepNext w:val="0"/>
                    <w:keepLines w:val="0"/>
                    <w:suppressLineNumbers w:val="0"/>
                    <w:spacing w:before="0" w:beforeAutospacing="0" w:after="0" w:afterAutospacing="0"/>
                    <w:ind w:left="0" w:right="0"/>
                    <w:jc w:val="center"/>
                    <w:rPr>
                      <w:rFonts w:hint="eastAsia" w:eastAsia="宋体"/>
                      <w:b/>
                      <w:bCs/>
                      <w:szCs w:val="21"/>
                      <w:lang w:eastAsia="zh-CN"/>
                    </w:rPr>
                  </w:pPr>
                  <w:r>
                    <w:rPr>
                      <w:rFonts w:hint="eastAsia"/>
                      <w:b/>
                      <w:bCs/>
                      <w:szCs w:val="21"/>
                      <w:lang w:eastAsia="zh-CN"/>
                    </w:rPr>
                    <w:t>2022-7-12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pct"/>
                  <w:vMerge w:val="continue"/>
                  <w:vAlign w:val="center"/>
                </w:tcPr>
                <w:p>
                  <w:pPr>
                    <w:keepNext w:val="0"/>
                    <w:keepLines w:val="0"/>
                    <w:suppressLineNumbers w:val="0"/>
                    <w:spacing w:before="0" w:beforeAutospacing="0" w:after="0" w:afterAutospacing="0"/>
                    <w:ind w:left="0" w:right="0"/>
                    <w:jc w:val="center"/>
                    <w:rPr>
                      <w:b/>
                      <w:bCs/>
                      <w:szCs w:val="21"/>
                    </w:rPr>
                  </w:pPr>
                </w:p>
              </w:tc>
              <w:tc>
                <w:tcPr>
                  <w:tcW w:w="659" w:type="pct"/>
                  <w:vMerge w:val="continue"/>
                  <w:vAlign w:val="center"/>
                </w:tcPr>
                <w:p>
                  <w:pPr>
                    <w:keepNext w:val="0"/>
                    <w:keepLines w:val="0"/>
                    <w:suppressLineNumbers w:val="0"/>
                    <w:spacing w:before="0" w:beforeAutospacing="0" w:after="0" w:afterAutospacing="0"/>
                    <w:ind w:left="0" w:right="0"/>
                    <w:jc w:val="center"/>
                    <w:rPr>
                      <w:b/>
                      <w:bCs/>
                      <w:szCs w:val="21"/>
                    </w:rPr>
                  </w:pPr>
                </w:p>
              </w:tc>
              <w:tc>
                <w:tcPr>
                  <w:tcW w:w="675" w:type="pct"/>
                  <w:vMerge w:val="continue"/>
                  <w:vAlign w:val="center"/>
                </w:tcPr>
                <w:p>
                  <w:pPr>
                    <w:keepNext w:val="0"/>
                    <w:keepLines w:val="0"/>
                    <w:suppressLineNumbers w:val="0"/>
                    <w:spacing w:before="0" w:beforeAutospacing="0" w:after="0" w:afterAutospacing="0"/>
                    <w:ind w:left="0" w:right="0"/>
                    <w:jc w:val="center"/>
                    <w:rPr>
                      <w:b/>
                      <w:bCs/>
                      <w:szCs w:val="21"/>
                    </w:rPr>
                  </w:pPr>
                </w:p>
              </w:tc>
              <w:tc>
                <w:tcPr>
                  <w:tcW w:w="676" w:type="pct"/>
                  <w:vAlign w:val="center"/>
                </w:tcPr>
                <w:p>
                  <w:pPr>
                    <w:keepNext w:val="0"/>
                    <w:keepLines w:val="0"/>
                    <w:suppressLineNumbers w:val="0"/>
                    <w:spacing w:before="0" w:beforeAutospacing="0" w:after="0" w:afterAutospacing="0"/>
                    <w:ind w:left="0" w:right="0"/>
                    <w:jc w:val="center"/>
                    <w:rPr>
                      <w:b/>
                      <w:bCs/>
                      <w:szCs w:val="21"/>
                    </w:rPr>
                  </w:pPr>
                  <w:r>
                    <w:rPr>
                      <w:b/>
                      <w:bCs/>
                      <w:szCs w:val="21"/>
                    </w:rPr>
                    <w:t>实际量</w:t>
                  </w:r>
                </w:p>
              </w:tc>
              <w:tc>
                <w:tcPr>
                  <w:tcW w:w="728" w:type="pct"/>
                  <w:vAlign w:val="center"/>
                </w:tcPr>
                <w:p>
                  <w:pPr>
                    <w:keepNext w:val="0"/>
                    <w:keepLines w:val="0"/>
                    <w:suppressLineNumbers w:val="0"/>
                    <w:spacing w:before="0" w:beforeAutospacing="0" w:after="0" w:afterAutospacing="0"/>
                    <w:ind w:left="0" w:right="0"/>
                    <w:jc w:val="center"/>
                    <w:rPr>
                      <w:b/>
                      <w:bCs/>
                      <w:szCs w:val="21"/>
                    </w:rPr>
                  </w:pPr>
                  <w:r>
                    <w:rPr>
                      <w:b/>
                      <w:bCs/>
                      <w:szCs w:val="21"/>
                    </w:rPr>
                    <w:t>生产负荷</w:t>
                  </w:r>
                </w:p>
              </w:tc>
              <w:tc>
                <w:tcPr>
                  <w:tcW w:w="724" w:type="pct"/>
                  <w:vAlign w:val="center"/>
                </w:tcPr>
                <w:p>
                  <w:pPr>
                    <w:keepNext w:val="0"/>
                    <w:keepLines w:val="0"/>
                    <w:suppressLineNumbers w:val="0"/>
                    <w:spacing w:before="0" w:beforeAutospacing="0" w:after="0" w:afterAutospacing="0"/>
                    <w:ind w:left="0" w:right="0"/>
                    <w:jc w:val="center"/>
                    <w:rPr>
                      <w:b/>
                      <w:bCs/>
                      <w:szCs w:val="21"/>
                    </w:rPr>
                  </w:pPr>
                  <w:r>
                    <w:rPr>
                      <w:b/>
                      <w:bCs/>
                      <w:szCs w:val="21"/>
                    </w:rPr>
                    <w:t>实际量</w:t>
                  </w:r>
                </w:p>
              </w:tc>
              <w:tc>
                <w:tcPr>
                  <w:tcW w:w="723" w:type="pct"/>
                  <w:vAlign w:val="center"/>
                </w:tcPr>
                <w:p>
                  <w:pPr>
                    <w:keepNext w:val="0"/>
                    <w:keepLines w:val="0"/>
                    <w:suppressLineNumbers w:val="0"/>
                    <w:spacing w:before="0" w:beforeAutospacing="0" w:after="0" w:afterAutospacing="0"/>
                    <w:ind w:left="0" w:right="0"/>
                    <w:jc w:val="center"/>
                    <w:rPr>
                      <w:b/>
                      <w:bCs/>
                      <w:szCs w:val="21"/>
                    </w:rPr>
                  </w:pPr>
                  <w:r>
                    <w:rPr>
                      <w:b/>
                      <w:bCs/>
                      <w:szCs w:val="21"/>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石材</w:t>
                  </w:r>
                </w:p>
              </w:tc>
              <w:tc>
                <w:tcPr>
                  <w:tcW w:w="659"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20000立方</w:t>
                  </w:r>
                </w:p>
              </w:tc>
              <w:tc>
                <w:tcPr>
                  <w:tcW w:w="675" w:type="pct"/>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eastAsia" w:cs="Times New Roman"/>
                      <w:szCs w:val="21"/>
                      <w:lang w:val="en-US" w:eastAsia="zh-CN"/>
                    </w:rPr>
                    <w:t>80立方</w:t>
                  </w:r>
                </w:p>
              </w:tc>
              <w:tc>
                <w:tcPr>
                  <w:tcW w:w="676"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74</w:t>
                  </w:r>
                  <w:r>
                    <w:rPr>
                      <w:rFonts w:hint="eastAsia" w:cs="Times New Roman"/>
                      <w:szCs w:val="21"/>
                      <w:lang w:val="en-US" w:eastAsia="zh-CN"/>
                    </w:rPr>
                    <w:t>立方</w:t>
                  </w:r>
                </w:p>
              </w:tc>
              <w:tc>
                <w:tcPr>
                  <w:tcW w:w="728"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92.5%</w:t>
                  </w:r>
                </w:p>
              </w:tc>
              <w:tc>
                <w:tcPr>
                  <w:tcW w:w="724"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75</w:t>
                  </w:r>
                  <w:r>
                    <w:rPr>
                      <w:rFonts w:hint="eastAsia" w:cs="Times New Roman"/>
                      <w:szCs w:val="21"/>
                      <w:lang w:val="en-US" w:eastAsia="zh-CN"/>
                    </w:rPr>
                    <w:t>立方</w:t>
                  </w:r>
                </w:p>
              </w:tc>
              <w:tc>
                <w:tcPr>
                  <w:tcW w:w="723"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00" w:type="pct"/>
                  <w:gridSpan w:val="7"/>
                  <w:vAlign w:val="center"/>
                </w:tcPr>
                <w:p>
                  <w:pPr>
                    <w:keepNext w:val="0"/>
                    <w:keepLines w:val="0"/>
                    <w:suppressLineNumbers w:val="0"/>
                    <w:spacing w:before="0" w:beforeAutospacing="0" w:after="0" w:afterAutospacing="0"/>
                    <w:ind w:left="0" w:right="0"/>
                    <w:jc w:val="left"/>
                    <w:rPr>
                      <w:szCs w:val="21"/>
                    </w:rPr>
                  </w:pPr>
                  <w:r>
                    <w:rPr>
                      <w:szCs w:val="21"/>
                    </w:rPr>
                    <w:t>备注：企业年工作时间</w:t>
                  </w:r>
                  <w:r>
                    <w:rPr>
                      <w:rFonts w:hint="eastAsia"/>
                      <w:szCs w:val="21"/>
                      <w:lang w:val="en-US" w:eastAsia="zh-CN"/>
                    </w:rPr>
                    <w:t>250</w:t>
                  </w:r>
                  <w:r>
                    <w:rPr>
                      <w:szCs w:val="21"/>
                    </w:rPr>
                    <w:t>天</w:t>
                  </w:r>
                  <w:r>
                    <w:rPr>
                      <w:rFonts w:hint="eastAsia"/>
                      <w:szCs w:val="21"/>
                    </w:rPr>
                    <w:t>。</w:t>
                  </w:r>
                </w:p>
              </w:tc>
            </w:tr>
          </w:tbl>
          <w:p>
            <w:pPr>
              <w:keepNext w:val="0"/>
              <w:keepLines w:val="0"/>
              <w:suppressLineNumbers w:val="0"/>
              <w:spacing w:before="0" w:beforeAutospacing="0" w:after="0" w:afterAutospacing="0"/>
              <w:ind w:left="0" w:right="0"/>
              <w:rPr>
                <w:color w:val="000000"/>
                <w:kern w:val="0"/>
                <w:sz w:val="24"/>
                <w:szCs w:val="24"/>
                <w:lang w:bidi="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04" w:hRule="atLeast"/>
          <w:jc w:val="center"/>
        </w:trPr>
        <w:tc>
          <w:tcPr>
            <w:tcW w:w="9288" w:type="dxa"/>
          </w:tcPr>
          <w:p>
            <w:pPr>
              <w:keepNext w:val="0"/>
              <w:keepLines w:val="0"/>
              <w:suppressLineNumbers w:val="0"/>
              <w:spacing w:before="0" w:beforeAutospacing="0" w:after="0" w:afterAutospacing="0" w:line="360" w:lineRule="auto"/>
              <w:ind w:left="0" w:right="0"/>
              <w:rPr>
                <w:b/>
                <w:bCs/>
                <w:kern w:val="0"/>
                <w:sz w:val="24"/>
                <w:szCs w:val="24"/>
                <w:lang w:bidi="zh-CN"/>
              </w:rPr>
            </w:pPr>
            <w:r>
              <w:rPr>
                <w:b/>
                <w:bCs/>
                <w:kern w:val="0"/>
                <w:sz w:val="24"/>
                <w:szCs w:val="24"/>
                <w:lang w:bidi="zh-CN"/>
              </w:rPr>
              <w:t>验收监测结果：</w:t>
            </w:r>
          </w:p>
          <w:p>
            <w:pPr>
              <w:keepNext w:val="0"/>
              <w:keepLines w:val="0"/>
              <w:suppressLineNumbers w:val="0"/>
              <w:spacing w:before="0" w:beforeAutospacing="0" w:after="0" w:afterAutospacing="0"/>
              <w:ind w:left="0" w:right="0" w:firstLine="480" w:firstLineChars="200"/>
              <w:rPr>
                <w:sz w:val="24"/>
              </w:rPr>
            </w:pPr>
            <w:r>
              <w:rPr>
                <w:sz w:val="24"/>
              </w:rPr>
              <w:t>噪声监测结果见</w:t>
            </w:r>
            <w:r>
              <w:rPr>
                <w:color w:val="000000"/>
                <w:kern w:val="0"/>
                <w:sz w:val="24"/>
                <w:szCs w:val="24"/>
                <w:lang w:bidi="zh-CN"/>
              </w:rPr>
              <w:t>表7-</w:t>
            </w:r>
            <w:r>
              <w:rPr>
                <w:rFonts w:hint="eastAsia"/>
                <w:color w:val="000000"/>
                <w:kern w:val="0"/>
                <w:sz w:val="24"/>
                <w:szCs w:val="24"/>
                <w:lang w:bidi="zh-CN"/>
              </w:rPr>
              <w:t>2</w:t>
            </w:r>
            <w:r>
              <w:rPr>
                <w:rFonts w:hint="eastAsia"/>
                <w:sz w:val="24"/>
              </w:rPr>
              <w:t>。</w:t>
            </w:r>
          </w:p>
          <w:p>
            <w:pPr>
              <w:pStyle w:val="53"/>
              <w:keepNext w:val="0"/>
              <w:keepLines w:val="0"/>
              <w:suppressLineNumbers w:val="0"/>
              <w:spacing w:before="80" w:beforeAutospacing="0" w:after="0" w:afterAutospacing="0" w:line="240" w:lineRule="auto"/>
              <w:ind w:left="0" w:right="0"/>
              <w:rPr>
                <w:rFonts w:cs="Times New Roman"/>
                <w:b/>
                <w:bCs/>
                <w:sz w:val="24"/>
                <w:lang w:val="en-US"/>
              </w:rPr>
            </w:pPr>
            <w:r>
              <w:rPr>
                <w:rFonts w:cs="Times New Roman"/>
                <w:b/>
                <w:bCs/>
                <w:sz w:val="24"/>
                <w:lang w:val="en-US"/>
              </w:rPr>
              <w:t>表7-</w:t>
            </w:r>
            <w:r>
              <w:rPr>
                <w:rFonts w:hint="eastAsia" w:cs="Times New Roman"/>
                <w:b/>
                <w:bCs/>
                <w:sz w:val="24"/>
                <w:lang w:val="en-US"/>
              </w:rPr>
              <w:t>2</w:t>
            </w:r>
            <w:r>
              <w:rPr>
                <w:rFonts w:cs="Times New Roman"/>
                <w:b/>
                <w:bCs/>
                <w:sz w:val="24"/>
                <w:lang w:val="en-US"/>
              </w:rPr>
              <w:t xml:space="preserve"> 厂界环境噪声监测结果</w:t>
            </w:r>
          </w:p>
          <w:tbl>
            <w:tblPr>
              <w:tblStyle w:val="2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76"/>
              <w:gridCol w:w="1539"/>
              <w:gridCol w:w="1291"/>
              <w:gridCol w:w="903"/>
              <w:gridCol w:w="1291"/>
              <w:gridCol w:w="1581"/>
              <w:gridCol w:w="15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blHeader/>
              </w:trPr>
              <w:tc>
                <w:tcPr>
                  <w:tcW w:w="484" w:type="pct"/>
                  <w:vMerge w:val="restart"/>
                  <w:noWrap w:val="0"/>
                  <w:vAlign w:val="center"/>
                </w:tcPr>
                <w:p>
                  <w:pPr>
                    <w:keepNext w:val="0"/>
                    <w:keepLines w:val="0"/>
                    <w:suppressLineNumbers w:val="0"/>
                    <w:spacing w:before="0" w:beforeAutospacing="0" w:after="0" w:afterAutospacing="0"/>
                    <w:ind w:left="0" w:right="0"/>
                    <w:jc w:val="center"/>
                    <w:rPr>
                      <w:b/>
                      <w:spacing w:val="-2"/>
                      <w:szCs w:val="21"/>
                    </w:rPr>
                  </w:pPr>
                  <w:r>
                    <w:rPr>
                      <w:b/>
                      <w:spacing w:val="-2"/>
                      <w:szCs w:val="21"/>
                    </w:rPr>
                    <w:t>检测</w:t>
                  </w:r>
                </w:p>
                <w:p>
                  <w:pPr>
                    <w:keepNext w:val="0"/>
                    <w:keepLines w:val="0"/>
                    <w:suppressLineNumbers w:val="0"/>
                    <w:spacing w:before="0" w:beforeAutospacing="0" w:after="0" w:afterAutospacing="0"/>
                    <w:ind w:left="0" w:right="0"/>
                    <w:jc w:val="center"/>
                    <w:rPr>
                      <w:b/>
                      <w:spacing w:val="-2"/>
                      <w:szCs w:val="21"/>
                    </w:rPr>
                  </w:pPr>
                  <w:r>
                    <w:rPr>
                      <w:b/>
                      <w:spacing w:val="-2"/>
                      <w:szCs w:val="21"/>
                    </w:rPr>
                    <w:t>点号</w:t>
                  </w:r>
                </w:p>
              </w:tc>
              <w:tc>
                <w:tcPr>
                  <w:tcW w:w="849"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r>
                    <w:rPr>
                      <w:b/>
                      <w:spacing w:val="-2"/>
                      <w:szCs w:val="21"/>
                    </w:rPr>
                    <w:t>检测点位</w:t>
                  </w:r>
                </w:p>
              </w:tc>
              <w:tc>
                <w:tcPr>
                  <w:tcW w:w="712"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r>
                    <w:rPr>
                      <w:rFonts w:hint="eastAsia"/>
                      <w:b/>
                      <w:spacing w:val="-2"/>
                      <w:szCs w:val="21"/>
                    </w:rPr>
                    <w:t>检测日期</w:t>
                  </w:r>
                </w:p>
              </w:tc>
              <w:tc>
                <w:tcPr>
                  <w:tcW w:w="498"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b/>
                      <w:spacing w:val="-2"/>
                      <w:szCs w:val="21"/>
                    </w:rPr>
                  </w:pPr>
                  <w:r>
                    <w:rPr>
                      <w:rFonts w:hint="eastAsia"/>
                      <w:b/>
                      <w:spacing w:val="-2"/>
                      <w:szCs w:val="21"/>
                    </w:rPr>
                    <w:t>天气</w:t>
                  </w:r>
                </w:p>
                <w:p>
                  <w:pPr>
                    <w:keepNext w:val="0"/>
                    <w:keepLines w:val="0"/>
                    <w:suppressLineNumbers w:val="0"/>
                    <w:spacing w:before="0" w:beforeAutospacing="0" w:after="0" w:afterAutospacing="0"/>
                    <w:ind w:left="0" w:right="0"/>
                    <w:jc w:val="center"/>
                    <w:rPr>
                      <w:b/>
                      <w:spacing w:val="-2"/>
                      <w:szCs w:val="21"/>
                    </w:rPr>
                  </w:pPr>
                  <w:r>
                    <w:rPr>
                      <w:rFonts w:hint="eastAsia"/>
                      <w:b/>
                      <w:spacing w:val="-2"/>
                      <w:szCs w:val="21"/>
                    </w:rPr>
                    <w:t>情况</w:t>
                  </w:r>
                </w:p>
              </w:tc>
              <w:tc>
                <w:tcPr>
                  <w:tcW w:w="710" w:type="pct"/>
                  <w:vMerge w:val="restart"/>
                  <w:tcBorders>
                    <w:lef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r>
                    <w:rPr>
                      <w:rFonts w:hint="eastAsia"/>
                      <w:b/>
                      <w:spacing w:val="-2"/>
                      <w:szCs w:val="21"/>
                    </w:rPr>
                    <w:t>检测期间最大风速m/s</w:t>
                  </w:r>
                </w:p>
              </w:tc>
              <w:tc>
                <w:tcPr>
                  <w:tcW w:w="1744" w:type="pct"/>
                  <w:gridSpan w:val="2"/>
                  <w:tcBorders>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r>
                    <w:rPr>
                      <w:rFonts w:hint="eastAsia"/>
                      <w:b/>
                      <w:szCs w:val="21"/>
                    </w:rPr>
                    <w:t>昼间噪声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blHeader/>
              </w:trPr>
              <w:tc>
                <w:tcPr>
                  <w:tcW w:w="484" w:type="pct"/>
                  <w:vMerge w:val="continue"/>
                  <w:noWrap w:val="0"/>
                  <w:vAlign w:val="center"/>
                </w:tcPr>
                <w:p>
                  <w:pPr>
                    <w:keepNext w:val="0"/>
                    <w:keepLines w:val="0"/>
                    <w:suppressLineNumbers w:val="0"/>
                    <w:spacing w:before="0" w:beforeAutospacing="0" w:after="0" w:afterAutospacing="0"/>
                    <w:ind w:left="0" w:right="0"/>
                    <w:jc w:val="center"/>
                    <w:rPr>
                      <w:b/>
                      <w:spacing w:val="-2"/>
                      <w:szCs w:val="21"/>
                    </w:rPr>
                  </w:pPr>
                </w:p>
              </w:tc>
              <w:tc>
                <w:tcPr>
                  <w:tcW w:w="849"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b/>
                      <w:szCs w:val="21"/>
                    </w:rPr>
                  </w:pPr>
                  <w:r>
                    <w:rPr>
                      <w:rFonts w:hint="eastAsia"/>
                      <w:b/>
                      <w:spacing w:val="-2"/>
                      <w:szCs w:val="21"/>
                    </w:rPr>
                    <w:t>检测时间</w:t>
                  </w:r>
                </w:p>
              </w:tc>
              <w:tc>
                <w:tcPr>
                  <w:tcW w:w="871"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b/>
                      <w:spacing w:val="-2"/>
                      <w:szCs w:val="21"/>
                      <w:vertAlign w:val="subscript"/>
                    </w:rPr>
                  </w:pPr>
                  <w:r>
                    <w:rPr>
                      <w:b/>
                      <w:spacing w:val="-2"/>
                      <w:szCs w:val="21"/>
                    </w:rPr>
                    <w:t>L</w:t>
                  </w:r>
                  <w:r>
                    <w:rPr>
                      <w:b/>
                      <w:spacing w:val="-2"/>
                      <w:szCs w:val="21"/>
                      <w:vertAlign w:val="subscript"/>
                    </w:rPr>
                    <w:t>eq</w:t>
                  </w:r>
                  <w:r>
                    <w:rPr>
                      <w:b/>
                      <w:spacing w:val="-2"/>
                      <w:szCs w:val="21"/>
                    </w:rPr>
                    <w:t>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▲5</w:t>
                  </w:r>
                  <w:r>
                    <w:rPr>
                      <w:szCs w:val="21"/>
                    </w:rPr>
                    <w:t>#</w:t>
                  </w:r>
                </w:p>
              </w:tc>
              <w:tc>
                <w:tcPr>
                  <w:tcW w:w="849"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厂界一</w:t>
                  </w:r>
                </w:p>
              </w:tc>
              <w:tc>
                <w:tcPr>
                  <w:tcW w:w="712"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2022-07-11</w:t>
                  </w:r>
                </w:p>
              </w:tc>
              <w:tc>
                <w:tcPr>
                  <w:tcW w:w="498"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spacing w:val="-2"/>
                      <w:szCs w:val="21"/>
                    </w:rPr>
                    <w:t>晴</w:t>
                  </w:r>
                </w:p>
              </w:tc>
              <w:tc>
                <w:tcPr>
                  <w:tcW w:w="710" w:type="pct"/>
                  <w:vMerge w:val="restart"/>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1.7</w:t>
                  </w: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10:29</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rFonts w:hint="eastAsia"/>
                      <w:szCs w:val="21"/>
                    </w:rPr>
                  </w:pPr>
                  <w:r>
                    <w:rPr>
                      <w:rFonts w:hint="eastAsia"/>
                      <w:szCs w:val="21"/>
                    </w:rPr>
                    <w:t>▲6#</w:t>
                  </w:r>
                </w:p>
              </w:tc>
              <w:tc>
                <w:tcPr>
                  <w:tcW w:w="849"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厂界二</w:t>
                  </w: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10:35</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▲7</w:t>
                  </w:r>
                  <w:r>
                    <w:rPr>
                      <w:szCs w:val="21"/>
                    </w:rPr>
                    <w:t>#</w:t>
                  </w:r>
                </w:p>
              </w:tc>
              <w:tc>
                <w:tcPr>
                  <w:tcW w:w="849"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厂界三</w:t>
                  </w: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10:39</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rFonts w:hint="eastAsia"/>
                      <w:szCs w:val="21"/>
                    </w:rPr>
                  </w:pPr>
                  <w:r>
                    <w:rPr>
                      <w:rFonts w:hint="eastAsia"/>
                      <w:szCs w:val="21"/>
                    </w:rPr>
                    <w:t>▲8#</w:t>
                  </w:r>
                </w:p>
              </w:tc>
              <w:tc>
                <w:tcPr>
                  <w:tcW w:w="849"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厂界四</w:t>
                  </w: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10:45</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▲5</w:t>
                  </w:r>
                  <w:r>
                    <w:rPr>
                      <w:szCs w:val="21"/>
                    </w:rPr>
                    <w:t>#</w:t>
                  </w:r>
                </w:p>
              </w:tc>
              <w:tc>
                <w:tcPr>
                  <w:tcW w:w="849"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厂界一</w:t>
                  </w:r>
                </w:p>
              </w:tc>
              <w:tc>
                <w:tcPr>
                  <w:tcW w:w="712"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2022-07-12</w:t>
                  </w:r>
                </w:p>
              </w:tc>
              <w:tc>
                <w:tcPr>
                  <w:tcW w:w="498"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spacing w:val="-2"/>
                      <w:szCs w:val="21"/>
                    </w:rPr>
                    <w:t>晴</w:t>
                  </w:r>
                </w:p>
              </w:tc>
              <w:tc>
                <w:tcPr>
                  <w:tcW w:w="710" w:type="pct"/>
                  <w:vMerge w:val="restart"/>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1.6</w:t>
                  </w: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14:20</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rFonts w:hint="eastAsia"/>
                      <w:szCs w:val="21"/>
                    </w:rPr>
                  </w:pPr>
                  <w:r>
                    <w:rPr>
                      <w:rFonts w:hint="eastAsia"/>
                      <w:szCs w:val="21"/>
                    </w:rPr>
                    <w:t>▲6#</w:t>
                  </w:r>
                </w:p>
              </w:tc>
              <w:tc>
                <w:tcPr>
                  <w:tcW w:w="849"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厂界二</w:t>
                  </w: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14:26</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▲7</w:t>
                  </w:r>
                  <w:r>
                    <w:rPr>
                      <w:szCs w:val="21"/>
                    </w:rPr>
                    <w:t>#</w:t>
                  </w:r>
                </w:p>
              </w:tc>
              <w:tc>
                <w:tcPr>
                  <w:tcW w:w="849"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厂界三</w:t>
                  </w: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14:33</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84" w:type="pct"/>
                  <w:noWrap w:val="0"/>
                  <w:vAlign w:val="center"/>
                </w:tcPr>
                <w:p>
                  <w:pPr>
                    <w:keepNext w:val="0"/>
                    <w:keepLines w:val="0"/>
                    <w:suppressLineNumbers w:val="0"/>
                    <w:spacing w:before="0" w:beforeAutospacing="0" w:after="0" w:afterAutospacing="0"/>
                    <w:ind w:left="0" w:right="0"/>
                    <w:jc w:val="center"/>
                    <w:rPr>
                      <w:rFonts w:hint="eastAsia"/>
                      <w:szCs w:val="21"/>
                    </w:rPr>
                  </w:pPr>
                  <w:r>
                    <w:rPr>
                      <w:rFonts w:hint="eastAsia"/>
                      <w:szCs w:val="21"/>
                    </w:rPr>
                    <w:t>▲8#</w:t>
                  </w:r>
                </w:p>
              </w:tc>
              <w:tc>
                <w:tcPr>
                  <w:tcW w:w="849"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厂界四</w:t>
                  </w:r>
                </w:p>
              </w:tc>
              <w:tc>
                <w:tcPr>
                  <w:tcW w:w="712"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498"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710" w:type="pct"/>
                  <w:vMerge w:val="continue"/>
                  <w:tcBorders>
                    <w:left w:val="single" w:color="auto" w:sz="4" w:space="0"/>
                  </w:tcBorders>
                  <w:noWrap w:val="0"/>
                  <w:vAlign w:val="center"/>
                </w:tcPr>
                <w:p>
                  <w:pPr>
                    <w:keepNext w:val="0"/>
                    <w:keepLines w:val="0"/>
                    <w:suppressLineNumbers w:val="0"/>
                    <w:spacing w:before="0" w:beforeAutospacing="0" w:after="0" w:afterAutospacing="0"/>
                    <w:ind w:left="0" w:right="0"/>
                    <w:jc w:val="center"/>
                    <w:rPr>
                      <w:spacing w:val="-2"/>
                      <w:szCs w:val="21"/>
                    </w:rPr>
                  </w:pPr>
                </w:p>
              </w:tc>
              <w:tc>
                <w:tcPr>
                  <w:tcW w:w="872"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szCs w:val="21"/>
                    </w:rPr>
                    <w:t>14:41</w:t>
                  </w:r>
                </w:p>
              </w:tc>
              <w:tc>
                <w:tcPr>
                  <w:tcW w:w="871" w:type="pct"/>
                  <w:tcBorders>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szCs w:val="21"/>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255" w:type="pct"/>
                  <w:gridSpan w:val="5"/>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pacing w:val="-2"/>
                      <w:szCs w:val="21"/>
                    </w:rPr>
                    <w:t>标准限值</w:t>
                  </w:r>
                </w:p>
              </w:tc>
              <w:tc>
                <w:tcPr>
                  <w:tcW w:w="1744" w:type="pct"/>
                  <w:gridSpan w:val="2"/>
                  <w:noWrap w:val="0"/>
                  <w:vAlign w:val="center"/>
                </w:tcPr>
                <w:p>
                  <w:pPr>
                    <w:keepNext w:val="0"/>
                    <w:keepLines w:val="0"/>
                    <w:suppressLineNumbers w:val="0"/>
                    <w:spacing w:before="0" w:beforeAutospacing="0" w:after="0" w:afterAutospacing="0"/>
                    <w:ind w:left="0" w:right="0"/>
                    <w:jc w:val="center"/>
                    <w:rPr>
                      <w:spacing w:val="-2"/>
                      <w:szCs w:val="21"/>
                    </w:rPr>
                  </w:pPr>
                  <w:r>
                    <w:rPr>
                      <w:rFonts w:hint="eastAsia"/>
                      <w:szCs w:val="21"/>
                    </w:rPr>
                    <w:t>≤60</w:t>
                  </w:r>
                </w:p>
              </w:tc>
            </w:tr>
          </w:tbl>
          <w:p>
            <w:pPr>
              <w:pStyle w:val="53"/>
              <w:keepNext w:val="0"/>
              <w:keepLines w:val="0"/>
              <w:suppressLineNumbers w:val="0"/>
              <w:spacing w:before="80" w:beforeAutospacing="0" w:after="0" w:afterAutospacing="0" w:line="360" w:lineRule="auto"/>
              <w:ind w:left="0" w:right="0"/>
              <w:jc w:val="both"/>
              <w:rPr>
                <w:rFonts w:cs="Times New Roman"/>
                <w:b/>
                <w:sz w:val="24"/>
                <w:szCs w:val="21"/>
              </w:rPr>
            </w:pPr>
          </w:p>
        </w:tc>
      </w:tr>
    </w:tbl>
    <w:p>
      <w:pPr>
        <w:adjustRightInd w:val="0"/>
        <w:snapToGrid w:val="0"/>
        <w:jc w:val="left"/>
        <w:rPr>
          <w:b/>
          <w:bCs/>
          <w:sz w:val="24"/>
          <w:szCs w:val="24"/>
        </w:rPr>
        <w:sectPr>
          <w:pgSz w:w="11906" w:h="16838"/>
          <w:pgMar w:top="1134" w:right="1417" w:bottom="1134" w:left="1417" w:header="680" w:footer="992" w:gutter="0"/>
          <w:pgBorders>
            <w:top w:val="none" w:sz="0" w:space="0"/>
            <w:left w:val="none" w:sz="0" w:space="0"/>
            <w:bottom w:val="none" w:sz="0" w:space="0"/>
            <w:right w:val="none" w:sz="0" w:space="0"/>
          </w:pgBorders>
          <w:cols w:space="720" w:num="1"/>
          <w:docGrid w:type="lines" w:linePitch="312" w:charSpace="0"/>
        </w:sectPr>
      </w:pPr>
    </w:p>
    <w:p>
      <w:pPr>
        <w:outlineLvl w:val="0"/>
        <w:rPr>
          <w:b/>
          <w:sz w:val="24"/>
          <w:szCs w:val="24"/>
        </w:rPr>
      </w:pPr>
      <w:r>
        <w:rPr>
          <w:b/>
          <w:sz w:val="24"/>
          <w:szCs w:val="24"/>
        </w:rPr>
        <w:t>续表七</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4095" w:hRule="atLeast"/>
          <w:jc w:val="center"/>
        </w:trPr>
        <w:tc>
          <w:tcPr>
            <w:tcW w:w="9422" w:type="dxa"/>
            <w:noWrap w:val="0"/>
            <w:vAlign w:val="top"/>
          </w:tcPr>
          <w:p>
            <w:pPr>
              <w:keepNext w:val="0"/>
              <w:keepLines w:val="0"/>
              <w:suppressLineNumbers w:val="0"/>
              <w:spacing w:before="0" w:beforeAutospacing="0" w:after="0" w:afterAutospacing="0" w:line="360" w:lineRule="auto"/>
              <w:ind w:left="0" w:right="0" w:firstLine="480" w:firstLineChars="200"/>
              <w:rPr>
                <w:rFonts w:hint="eastAsia"/>
                <w:sz w:val="24"/>
                <w:szCs w:val="24"/>
              </w:rPr>
            </w:pPr>
            <w:r>
              <w:rPr>
                <w:rFonts w:hint="eastAsia"/>
                <w:sz w:val="24"/>
                <w:szCs w:val="24"/>
              </w:rPr>
              <w:t>厂界无</w:t>
            </w:r>
            <w:r>
              <w:rPr>
                <w:sz w:val="24"/>
                <w:szCs w:val="24"/>
              </w:rPr>
              <w:t>组织监测结果见表7-</w:t>
            </w:r>
            <w:r>
              <w:rPr>
                <w:rFonts w:hint="eastAsia"/>
                <w:sz w:val="24"/>
                <w:szCs w:val="24"/>
                <w:lang w:val="en-US" w:eastAsia="zh-CN"/>
              </w:rPr>
              <w:t>3</w:t>
            </w:r>
            <w:r>
              <w:rPr>
                <w:rFonts w:hint="eastAsia"/>
                <w:sz w:val="24"/>
                <w:szCs w:val="24"/>
              </w:rPr>
              <w:t>。</w:t>
            </w:r>
          </w:p>
          <w:p>
            <w:pPr>
              <w:keepNext/>
              <w:keepLines/>
              <w:suppressLineNumbers w:val="0"/>
              <w:spacing w:before="0" w:beforeAutospacing="0" w:after="0" w:afterAutospacing="0" w:line="240" w:lineRule="auto"/>
              <w:ind w:left="0" w:right="0" w:firstLine="482" w:firstLineChars="200"/>
              <w:jc w:val="center"/>
              <w:rPr>
                <w:rFonts w:hint="eastAsia"/>
                <w:b/>
                <w:bCs/>
                <w:sz w:val="24"/>
                <w:szCs w:val="24"/>
              </w:rPr>
            </w:pPr>
            <w:r>
              <w:rPr>
                <w:rFonts w:hint="eastAsia"/>
                <w:b/>
                <w:bCs/>
                <w:sz w:val="24"/>
                <w:szCs w:val="24"/>
              </w:rPr>
              <w:t>表7-</w:t>
            </w:r>
            <w:r>
              <w:rPr>
                <w:rFonts w:hint="eastAsia"/>
                <w:b/>
                <w:bCs/>
                <w:sz w:val="24"/>
                <w:szCs w:val="24"/>
                <w:lang w:val="en-US" w:eastAsia="zh-CN"/>
              </w:rPr>
              <w:t>3</w:t>
            </w:r>
            <w:r>
              <w:rPr>
                <w:rFonts w:hint="eastAsia"/>
                <w:b/>
                <w:bCs/>
                <w:sz w:val="24"/>
                <w:szCs w:val="24"/>
              </w:rPr>
              <w:t xml:space="preserve"> 厂界无组织废气监测结果</w:t>
            </w:r>
          </w:p>
          <w:tbl>
            <w:tblPr>
              <w:tblStyle w:val="2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17"/>
              <w:gridCol w:w="1624"/>
              <w:gridCol w:w="1196"/>
              <w:gridCol w:w="1212"/>
              <w:gridCol w:w="2042"/>
              <w:gridCol w:w="22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blHeader/>
              </w:trPr>
              <w:tc>
                <w:tcPr>
                  <w:tcW w:w="396" w:type="pct"/>
                  <w:noWrap w:val="0"/>
                  <w:vAlign w:val="center"/>
                </w:tcPr>
                <w:p>
                  <w:pPr>
                    <w:keepNext w:val="0"/>
                    <w:keepLines w:val="0"/>
                    <w:suppressLineNumbers w:val="0"/>
                    <w:spacing w:before="0" w:beforeAutospacing="0" w:after="0" w:afterAutospacing="0"/>
                    <w:ind w:left="0" w:right="0"/>
                    <w:jc w:val="center"/>
                    <w:rPr>
                      <w:b/>
                      <w:szCs w:val="21"/>
                    </w:rPr>
                  </w:pPr>
                  <w:r>
                    <w:rPr>
                      <w:b/>
                      <w:szCs w:val="21"/>
                    </w:rPr>
                    <w:t>检测点号</w:t>
                  </w:r>
                </w:p>
              </w:tc>
              <w:tc>
                <w:tcPr>
                  <w:tcW w:w="896" w:type="pct"/>
                  <w:tcBorders>
                    <w:right w:val="single" w:color="auto" w:sz="4" w:space="0"/>
                  </w:tcBorders>
                  <w:noWrap w:val="0"/>
                  <w:vAlign w:val="center"/>
                </w:tcPr>
                <w:p>
                  <w:pPr>
                    <w:keepNext w:val="0"/>
                    <w:keepLines w:val="0"/>
                    <w:suppressLineNumbers w:val="0"/>
                    <w:spacing w:before="0" w:beforeAutospacing="0" w:after="0" w:afterAutospacing="0"/>
                    <w:ind w:left="0" w:right="0"/>
                    <w:jc w:val="center"/>
                    <w:rPr>
                      <w:b/>
                      <w:szCs w:val="21"/>
                    </w:rPr>
                  </w:pPr>
                  <w:r>
                    <w:rPr>
                      <w:b/>
                      <w:szCs w:val="21"/>
                    </w:rPr>
                    <w:t>检测点位</w:t>
                  </w:r>
                </w:p>
              </w:tc>
              <w:tc>
                <w:tcPr>
                  <w:tcW w:w="1329" w:type="pct"/>
                  <w:gridSpan w:val="2"/>
                  <w:tcBorders>
                    <w:left w:val="single" w:color="auto" w:sz="4" w:space="0"/>
                  </w:tcBorders>
                  <w:noWrap w:val="0"/>
                  <w:vAlign w:val="center"/>
                </w:tcPr>
                <w:p>
                  <w:pPr>
                    <w:keepNext w:val="0"/>
                    <w:keepLines w:val="0"/>
                    <w:suppressLineNumbers w:val="0"/>
                    <w:spacing w:before="0" w:beforeAutospacing="0" w:after="0" w:afterAutospacing="0"/>
                    <w:ind w:left="0" w:right="0"/>
                    <w:jc w:val="center"/>
                    <w:rPr>
                      <w:b/>
                      <w:szCs w:val="21"/>
                    </w:rPr>
                  </w:pPr>
                  <w:r>
                    <w:rPr>
                      <w:rFonts w:hint="eastAsia"/>
                      <w:b/>
                      <w:szCs w:val="21"/>
                    </w:rPr>
                    <w:t>采样日期</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zCs w:val="21"/>
                    </w:rPr>
                  </w:pPr>
                  <w:r>
                    <w:rPr>
                      <w:rFonts w:hint="eastAsia"/>
                      <w:b/>
                      <w:szCs w:val="21"/>
                    </w:rPr>
                    <w:t>总悬浮颗粒物</w:t>
                  </w:r>
                  <w:r>
                    <w:rPr>
                      <w:b/>
                      <w:szCs w:val="21"/>
                    </w:rPr>
                    <w:t>检测结果mg/m</w:t>
                  </w:r>
                  <w:r>
                    <w:rPr>
                      <w:b/>
                      <w:szCs w:val="21"/>
                      <w:vertAlign w:val="superscript"/>
                    </w:rPr>
                    <w:t>3</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b/>
                      <w:szCs w:val="21"/>
                    </w:rPr>
                  </w:pPr>
                  <w:r>
                    <w:rPr>
                      <w:rFonts w:hint="eastAsia"/>
                      <w:b/>
                      <w:szCs w:val="21"/>
                    </w:rPr>
                    <w:t>监控点与参照点总悬浮颗粒物1h浓度值的差值</w:t>
                  </w:r>
                  <w:r>
                    <w:rPr>
                      <w:b/>
                      <w:szCs w:val="21"/>
                    </w:rPr>
                    <w:t>mg/m</w:t>
                  </w:r>
                  <w:r>
                    <w:rPr>
                      <w:b/>
                      <w:szCs w:val="21"/>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1#</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szCs w:val="21"/>
                    </w:rPr>
                    <w:t>厂界</w:t>
                  </w:r>
                  <w:r>
                    <w:rPr>
                      <w:rFonts w:hint="eastAsia"/>
                      <w:szCs w:val="21"/>
                    </w:rPr>
                    <w:t>上风向</w:t>
                  </w:r>
                </w:p>
              </w:tc>
              <w:tc>
                <w:tcPr>
                  <w:tcW w:w="660"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2022-07-11</w:t>
                  </w: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0.141</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szCs w:val="21"/>
                    </w:rPr>
                  </w:pPr>
                  <w:r>
                    <w:rPr>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0.161</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0.153</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2#</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厂界下风向一</w:t>
                  </w: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0.179</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0.209</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0.181</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3#</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厂界下风向二</w:t>
                  </w: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0.198</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0.218</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0.220</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4#</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厂界下风向三</w:t>
                  </w: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0.236</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0.256</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0.248</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1#</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szCs w:val="21"/>
                    </w:rPr>
                    <w:t>厂界</w:t>
                  </w:r>
                  <w:r>
                    <w:rPr>
                      <w:rFonts w:hint="eastAsia"/>
                      <w:szCs w:val="21"/>
                    </w:rPr>
                    <w:t>上风向</w:t>
                  </w:r>
                </w:p>
              </w:tc>
              <w:tc>
                <w:tcPr>
                  <w:tcW w:w="660" w:type="pct"/>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2022-07-12</w:t>
                  </w: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0.164</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0.174</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0.154</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ascii="宋体" w:hAnsi="宋体"/>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2#</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厂界下风向一</w:t>
                  </w: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0.184</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0.193</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0.203</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3#</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厂界下风向二</w:t>
                  </w: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0.193</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0.232</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0.212</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restart"/>
                  <w:noWrap w:val="0"/>
                  <w:vAlign w:val="center"/>
                </w:tcPr>
                <w:p>
                  <w:pPr>
                    <w:keepNext w:val="0"/>
                    <w:keepLines w:val="0"/>
                    <w:suppressLineNumbers w:val="0"/>
                    <w:spacing w:before="0" w:beforeAutospacing="0" w:after="0" w:afterAutospacing="0"/>
                    <w:ind w:left="0" w:right="0"/>
                    <w:jc w:val="center"/>
                    <w:rPr>
                      <w:szCs w:val="21"/>
                    </w:rPr>
                  </w:pPr>
                  <w:r>
                    <w:rPr>
                      <w:rFonts w:hint="eastAsia" w:ascii="宋体" w:hAnsi="宋体"/>
                      <w:szCs w:val="21"/>
                    </w:rPr>
                    <w:t>○</w:t>
                  </w:r>
                  <w:r>
                    <w:rPr>
                      <w:szCs w:val="21"/>
                    </w:rPr>
                    <w:t>4#</w:t>
                  </w:r>
                </w:p>
              </w:tc>
              <w:tc>
                <w:tcPr>
                  <w:tcW w:w="896" w:type="pct"/>
                  <w:vMerge w:val="restart"/>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厂界下风向三</w:t>
                  </w: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第一次</w:t>
                  </w:r>
                </w:p>
              </w:tc>
              <w:tc>
                <w:tcPr>
                  <w:tcW w:w="1125" w:type="pct"/>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0.222</w:t>
                  </w:r>
                </w:p>
              </w:tc>
              <w:tc>
                <w:tcPr>
                  <w:tcW w:w="1252"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第二次</w:t>
                  </w:r>
                </w:p>
              </w:tc>
              <w:tc>
                <w:tcPr>
                  <w:tcW w:w="1125" w:type="pct"/>
                  <w:tcBorders>
                    <w:top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0.251</w:t>
                  </w:r>
                </w:p>
              </w:tc>
              <w:tc>
                <w:tcPr>
                  <w:tcW w:w="12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96" w:type="pct"/>
                  <w:vMerge w:val="continue"/>
                  <w:noWrap w:val="0"/>
                  <w:vAlign w:val="center"/>
                </w:tcPr>
                <w:p>
                  <w:pPr>
                    <w:keepNext w:val="0"/>
                    <w:keepLines w:val="0"/>
                    <w:suppressLineNumbers w:val="0"/>
                    <w:spacing w:before="0" w:beforeAutospacing="0" w:after="0" w:afterAutospacing="0"/>
                    <w:ind w:left="0" w:right="0"/>
                    <w:jc w:val="center"/>
                    <w:rPr>
                      <w:szCs w:val="21"/>
                    </w:rPr>
                  </w:pPr>
                </w:p>
              </w:tc>
              <w:tc>
                <w:tcPr>
                  <w:tcW w:w="896" w:type="pct"/>
                  <w:vMerge w:val="continue"/>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0"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p>
              </w:tc>
              <w:tc>
                <w:tcPr>
                  <w:tcW w:w="668" w:type="pct"/>
                  <w:tcBorders>
                    <w:top w:val="single" w:color="auto" w:sz="4" w:space="0"/>
                    <w:lef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第三次</w:t>
                  </w:r>
                </w:p>
              </w:tc>
              <w:tc>
                <w:tcPr>
                  <w:tcW w:w="1125" w:type="pct"/>
                  <w:tcBorders>
                    <w:top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0.241</w:t>
                  </w:r>
                </w:p>
              </w:tc>
              <w:tc>
                <w:tcPr>
                  <w:tcW w:w="1252"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ascii="宋体" w:hAnsi="宋体" w:cs="宋体"/>
                      <w:color w:val="000000"/>
                      <w:szCs w:val="22"/>
                    </w:rPr>
                  </w:pPr>
                  <w:r>
                    <w:rPr>
                      <w:rFonts w:hint="eastAsia"/>
                      <w:color w:val="000000"/>
                      <w:szCs w:val="22"/>
                    </w:rPr>
                    <w:t>0.087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3747" w:type="pct"/>
                  <w:gridSpan w:val="5"/>
                  <w:tcBorders>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hint="eastAsia"/>
                      <w:szCs w:val="21"/>
                    </w:rPr>
                    <w:t>标准限值</w:t>
                  </w:r>
                </w:p>
              </w:tc>
              <w:tc>
                <w:tcPr>
                  <w:tcW w:w="1252" w:type="pc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szCs w:val="21"/>
                    </w:rPr>
                  </w:pPr>
                  <w:r>
                    <w:rPr>
                      <w:rFonts w:ascii="宋体" w:hAnsi="宋体"/>
                      <w:szCs w:val="21"/>
                    </w:rPr>
                    <w:t>≤</w:t>
                  </w:r>
                  <w:r>
                    <w:rPr>
                      <w:rFonts w:hint="eastAsia"/>
                      <w:szCs w:val="21"/>
                    </w:rPr>
                    <w:t>0.5</w:t>
                  </w:r>
                </w:p>
              </w:tc>
            </w:tr>
          </w:tbl>
          <w:p>
            <w:pPr>
              <w:keepNext w:val="0"/>
              <w:keepLines w:val="0"/>
              <w:suppressLineNumbers w:val="0"/>
              <w:spacing w:before="0" w:beforeAutospacing="0" w:after="0" w:afterAutospacing="0" w:line="360" w:lineRule="auto"/>
              <w:ind w:left="0" w:right="0" w:firstLine="480" w:firstLineChars="200"/>
              <w:rPr>
                <w:sz w:val="24"/>
                <w:szCs w:val="24"/>
              </w:rPr>
            </w:pPr>
          </w:p>
          <w:p>
            <w:pPr>
              <w:keepNext w:val="0"/>
              <w:keepLines w:val="0"/>
              <w:suppressLineNumbers w:val="0"/>
              <w:spacing w:before="0" w:beforeAutospacing="0" w:after="0" w:afterAutospacing="0" w:line="360" w:lineRule="auto"/>
              <w:ind w:left="0" w:right="0" w:firstLine="480" w:firstLineChars="200"/>
              <w:rPr>
                <w:sz w:val="24"/>
                <w:szCs w:val="24"/>
              </w:rPr>
            </w:pPr>
          </w:p>
          <w:p>
            <w:pPr>
              <w:keepNext w:val="0"/>
              <w:keepLines w:val="0"/>
              <w:suppressLineNumbers w:val="0"/>
              <w:spacing w:before="0" w:beforeAutospacing="0" w:after="0" w:afterAutospacing="0" w:line="360" w:lineRule="auto"/>
              <w:ind w:left="0" w:right="0" w:firstLine="480" w:firstLineChars="200"/>
              <w:rPr>
                <w:b/>
                <w:bCs/>
                <w:sz w:val="24"/>
                <w:szCs w:val="24"/>
                <w:highlight w:val="yellow"/>
              </w:rPr>
            </w:pPr>
            <w:r>
              <w:rPr>
                <w:sz w:val="24"/>
                <w:szCs w:val="24"/>
              </w:rPr>
              <w:t>无组织监测期间气象参数表见表</w:t>
            </w:r>
            <w:r>
              <w:rPr>
                <w:rFonts w:hint="eastAsia"/>
                <w:sz w:val="24"/>
                <w:szCs w:val="24"/>
              </w:rPr>
              <w:t>7</w:t>
            </w:r>
            <w:r>
              <w:rPr>
                <w:sz w:val="24"/>
                <w:szCs w:val="24"/>
              </w:rPr>
              <w:t>-</w:t>
            </w:r>
            <w:r>
              <w:rPr>
                <w:rFonts w:hint="eastAsia"/>
                <w:sz w:val="24"/>
                <w:szCs w:val="24"/>
                <w:lang w:val="en-US" w:eastAsia="zh-CN"/>
              </w:rPr>
              <w:t>4</w:t>
            </w:r>
            <w:r>
              <w:rPr>
                <w:sz w:val="24"/>
                <w:szCs w:val="24"/>
              </w:rPr>
              <w:t>。</w:t>
            </w:r>
          </w:p>
          <w:p>
            <w:pPr>
              <w:keepNext/>
              <w:keepLines/>
              <w:suppressLineNumbers w:val="0"/>
              <w:spacing w:before="0" w:beforeAutospacing="0" w:after="0" w:afterAutospacing="0" w:line="360" w:lineRule="auto"/>
              <w:ind w:left="0" w:right="0" w:firstLine="482" w:firstLineChars="200"/>
              <w:jc w:val="center"/>
              <w:rPr>
                <w:b/>
                <w:bCs/>
                <w:sz w:val="24"/>
                <w:szCs w:val="24"/>
              </w:rPr>
            </w:pPr>
            <w:r>
              <w:rPr>
                <w:b/>
                <w:bCs/>
                <w:sz w:val="24"/>
                <w:szCs w:val="24"/>
              </w:rPr>
              <w:t>表</w:t>
            </w:r>
            <w:r>
              <w:rPr>
                <w:rFonts w:hint="eastAsia"/>
                <w:b/>
                <w:bCs/>
                <w:sz w:val="24"/>
                <w:szCs w:val="24"/>
              </w:rPr>
              <w:t>7</w:t>
            </w:r>
            <w:r>
              <w:rPr>
                <w:b/>
                <w:bCs/>
                <w:sz w:val="24"/>
                <w:szCs w:val="24"/>
              </w:rPr>
              <w:t>-</w:t>
            </w:r>
            <w:r>
              <w:rPr>
                <w:rFonts w:hint="eastAsia"/>
                <w:b/>
                <w:bCs/>
                <w:sz w:val="24"/>
                <w:szCs w:val="24"/>
                <w:lang w:val="en-US" w:eastAsia="zh-CN"/>
              </w:rPr>
              <w:t>4</w:t>
            </w:r>
            <w:r>
              <w:rPr>
                <w:b/>
                <w:bCs/>
                <w:sz w:val="24"/>
                <w:szCs w:val="24"/>
              </w:rPr>
              <w:t xml:space="preserve"> 无组织监测期间气象参数表</w:t>
            </w:r>
          </w:p>
          <w:tbl>
            <w:tblPr>
              <w:tblStyle w:val="20"/>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470"/>
              <w:gridCol w:w="1191"/>
              <w:gridCol w:w="1304"/>
              <w:gridCol w:w="1288"/>
              <w:gridCol w:w="1278"/>
              <w:gridCol w:w="1262"/>
              <w:gridCol w:w="12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blHeader/>
              </w:trPr>
              <w:tc>
                <w:tcPr>
                  <w:tcW w:w="147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r>
                    <w:rPr>
                      <w:rFonts w:hint="eastAsia"/>
                      <w:b/>
                      <w:color w:val="000000"/>
                      <w:szCs w:val="21"/>
                    </w:rPr>
                    <w:t>日期</w:t>
                  </w:r>
                </w:p>
              </w:tc>
              <w:tc>
                <w:tcPr>
                  <w:tcW w:w="119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r>
                    <w:rPr>
                      <w:rFonts w:hAnsi="宋体"/>
                      <w:b/>
                      <w:color w:val="000000"/>
                      <w:szCs w:val="21"/>
                    </w:rPr>
                    <w:t>时</w:t>
                  </w:r>
                  <w:r>
                    <w:rPr>
                      <w:rFonts w:hint="eastAsia" w:hAnsi="宋体"/>
                      <w:b/>
                      <w:color w:val="000000"/>
                      <w:szCs w:val="21"/>
                    </w:rPr>
                    <w:t>间</w:t>
                  </w:r>
                </w:p>
              </w:tc>
              <w:tc>
                <w:tcPr>
                  <w:tcW w:w="6394" w:type="dxa"/>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iCs/>
                      <w:color w:val="000000"/>
                      <w:szCs w:val="21"/>
                    </w:rPr>
                  </w:pPr>
                  <w:r>
                    <w:rPr>
                      <w:rFonts w:hAnsi="宋体"/>
                      <w:b/>
                      <w:iCs/>
                      <w:color w:val="000000"/>
                      <w:szCs w:val="21"/>
                    </w:rPr>
                    <w:t>气象参数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blHeader/>
              </w:trPr>
              <w:tc>
                <w:tcPr>
                  <w:tcW w:w="1470" w:type="dxa"/>
                  <w:vMerge w:val="continue"/>
                  <w:tcBorders>
                    <w:top w:val="single" w:color="auto" w:sz="4" w:space="0"/>
                    <w:left w:val="single" w:color="auto" w:sz="4" w:space="0"/>
                    <w:bottom w:val="single" w:color="auto" w:sz="4" w:space="0"/>
                    <w:right w:val="single" w:color="auto" w:sz="4" w:space="0"/>
                    <w:tl2br w:val="single" w:color="000000" w:sz="6"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p>
              </w:tc>
              <w:tc>
                <w:tcPr>
                  <w:tcW w:w="1191" w:type="dxa"/>
                  <w:vMerge w:val="continue"/>
                  <w:tcBorders>
                    <w:top w:val="single" w:color="auto" w:sz="4" w:space="0"/>
                    <w:left w:val="single" w:color="auto" w:sz="4" w:space="0"/>
                    <w:bottom w:val="single" w:color="auto" w:sz="4" w:space="0"/>
                    <w:right w:val="single" w:color="auto" w:sz="4" w:space="0"/>
                    <w:tl2br w:val="single" w:color="000000" w:sz="6"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r>
                    <w:rPr>
                      <w:rFonts w:hAnsi="宋体"/>
                      <w:b/>
                      <w:color w:val="000000"/>
                      <w:szCs w:val="21"/>
                    </w:rPr>
                    <w:t>气压</w:t>
                  </w:r>
                  <w:r>
                    <w:rPr>
                      <w:rFonts w:hint="eastAsia" w:hAnsi="宋体"/>
                      <w:b/>
                      <w:color w:val="000000"/>
                      <w:szCs w:val="21"/>
                    </w:rPr>
                    <w:t xml:space="preserve"> </w:t>
                  </w:r>
                  <w:r>
                    <w:rPr>
                      <w:b/>
                      <w:iCs/>
                      <w:color w:val="000000"/>
                      <w:szCs w:val="21"/>
                    </w:rPr>
                    <w:t>kPa</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r>
                    <w:rPr>
                      <w:rFonts w:hAnsi="宋体"/>
                      <w:b/>
                      <w:color w:val="000000"/>
                      <w:szCs w:val="21"/>
                    </w:rPr>
                    <w:t>气温</w:t>
                  </w:r>
                  <w:r>
                    <w:rPr>
                      <w:rFonts w:hint="eastAsia" w:hAnsi="宋体"/>
                      <w:b/>
                      <w:color w:val="000000"/>
                      <w:szCs w:val="21"/>
                    </w:rPr>
                    <w:t xml:space="preserve"> </w:t>
                  </w:r>
                  <w:r>
                    <w:rPr>
                      <w:rFonts w:ascii="宋体" w:hAnsi="宋体"/>
                      <w:b/>
                      <w:iCs/>
                      <w:color w:val="000000"/>
                      <w:szCs w:val="21"/>
                    </w:rPr>
                    <w:t>℃</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r>
                    <w:rPr>
                      <w:rFonts w:hAnsi="宋体"/>
                      <w:b/>
                      <w:color w:val="000000"/>
                      <w:szCs w:val="21"/>
                    </w:rPr>
                    <w:t>风速</w:t>
                  </w:r>
                  <w:r>
                    <w:rPr>
                      <w:rFonts w:hint="eastAsia" w:hAnsi="宋体"/>
                      <w:b/>
                      <w:color w:val="000000"/>
                      <w:szCs w:val="21"/>
                    </w:rPr>
                    <w:t xml:space="preserve"> </w:t>
                  </w:r>
                  <w:r>
                    <w:rPr>
                      <w:b/>
                      <w:iCs/>
                      <w:color w:val="000000"/>
                      <w:szCs w:val="21"/>
                    </w:rPr>
                    <w:t>m/s</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color w:val="000000"/>
                      <w:szCs w:val="21"/>
                    </w:rPr>
                  </w:pPr>
                  <w:r>
                    <w:rPr>
                      <w:rFonts w:hint="eastAsia" w:hAnsi="宋体"/>
                      <w:b/>
                      <w:color w:val="000000"/>
                      <w:szCs w:val="21"/>
                    </w:rPr>
                    <w:t>主导风向</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b/>
                      <w:iCs/>
                      <w:color w:val="000000"/>
                      <w:szCs w:val="21"/>
                    </w:rPr>
                  </w:pPr>
                  <w:r>
                    <w:rPr>
                      <w:rFonts w:hAnsi="宋体"/>
                      <w:b/>
                      <w:iCs/>
                      <w:color w:val="000000"/>
                      <w:szCs w:val="21"/>
                    </w:rPr>
                    <w:t>天气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47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hint="eastAsia" w:eastAsia="宋体"/>
                      <w:lang w:eastAsia="zh-CN"/>
                    </w:rPr>
                  </w:pPr>
                  <w:r>
                    <w:rPr>
                      <w:rFonts w:hint="eastAsia"/>
                      <w:szCs w:val="21"/>
                    </w:rPr>
                    <w:t>2022-07-11</w:t>
                  </w:r>
                </w:p>
              </w:tc>
              <w:tc>
                <w:tcPr>
                  <w:tcW w:w="119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10:30</w:t>
                  </w: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100.2</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32.4</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1.5</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东北</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47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color w:val="000000"/>
                      <w:szCs w:val="21"/>
                    </w:rPr>
                  </w:pPr>
                </w:p>
              </w:tc>
              <w:tc>
                <w:tcPr>
                  <w:tcW w:w="119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11:40</w:t>
                  </w: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100.0</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33.7</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1.5</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东北</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47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color w:val="000000"/>
                      <w:szCs w:val="21"/>
                    </w:rPr>
                  </w:pPr>
                </w:p>
              </w:tc>
              <w:tc>
                <w:tcPr>
                  <w:tcW w:w="119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12:50</w:t>
                  </w: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99.9</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35.2</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1.4</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东北</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47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hint="eastAsia" w:eastAsia="宋体"/>
                      <w:lang w:eastAsia="zh-CN"/>
                    </w:rPr>
                  </w:pPr>
                  <w:r>
                    <w:rPr>
                      <w:rFonts w:hint="eastAsia"/>
                      <w:szCs w:val="21"/>
                    </w:rPr>
                    <w:t>2022-07-12</w:t>
                  </w:r>
                </w:p>
              </w:tc>
              <w:tc>
                <w:tcPr>
                  <w:tcW w:w="119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14:10</w:t>
                  </w: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99.7</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38.4</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1.3</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东北</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47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color w:val="000000"/>
                      <w:szCs w:val="21"/>
                    </w:rPr>
                  </w:pPr>
                </w:p>
              </w:tc>
              <w:tc>
                <w:tcPr>
                  <w:tcW w:w="119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15:20</w:t>
                  </w: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99.7</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38.3</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1.3</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东北</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47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color w:val="000000"/>
                      <w:szCs w:val="21"/>
                    </w:rPr>
                  </w:pPr>
                </w:p>
              </w:tc>
              <w:tc>
                <w:tcPr>
                  <w:tcW w:w="119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16:30</w:t>
                  </w:r>
                </w:p>
              </w:tc>
              <w:tc>
                <w:tcPr>
                  <w:tcW w:w="130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99.7</w:t>
                  </w:r>
                </w:p>
              </w:tc>
              <w:tc>
                <w:tcPr>
                  <w:tcW w:w="128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38.0</w:t>
                  </w:r>
                </w:p>
              </w:tc>
              <w:tc>
                <w:tcPr>
                  <w:tcW w:w="127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1.2</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东北</w:t>
                  </w:r>
                </w:p>
              </w:tc>
              <w:tc>
                <w:tcPr>
                  <w:tcW w:w="126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suppressLineNumbers w:val="0"/>
                    <w:spacing w:before="0" w:beforeAutospacing="0" w:after="0" w:afterAutospacing="0"/>
                    <w:ind w:left="0" w:right="0"/>
                    <w:jc w:val="center"/>
                    <w:rPr>
                      <w:rFonts w:ascii="宋体" w:hAnsi="宋体" w:eastAsia="宋体" w:cs="宋体"/>
                      <w:kern w:val="2"/>
                      <w:sz w:val="21"/>
                      <w:szCs w:val="22"/>
                      <w:lang w:val="en-US" w:eastAsia="zh-CN" w:bidi="ar-SA"/>
                    </w:rPr>
                  </w:pPr>
                  <w:r>
                    <w:rPr>
                      <w:rFonts w:hint="eastAsia"/>
                      <w:szCs w:val="22"/>
                    </w:rPr>
                    <w:t>晴</w:t>
                  </w:r>
                </w:p>
              </w:tc>
            </w:tr>
          </w:tbl>
          <w:p>
            <w:pPr>
              <w:keepNext w:val="0"/>
              <w:keepLines w:val="0"/>
              <w:suppressLineNumbers w:val="0"/>
              <w:spacing w:before="0" w:beforeAutospacing="0" w:after="0" w:afterAutospacing="0" w:line="336" w:lineRule="auto"/>
              <w:ind w:left="0" w:right="0" w:firstLine="420" w:firstLineChars="200"/>
              <w:rPr>
                <w:rFonts w:hint="eastAsia"/>
              </w:rPr>
            </w:pPr>
          </w:p>
        </w:tc>
      </w:tr>
    </w:tbl>
    <w:p>
      <w:pPr>
        <w:adjustRightInd w:val="0"/>
        <w:snapToGrid w:val="0"/>
        <w:jc w:val="left"/>
        <w:rPr>
          <w:b/>
          <w:bCs/>
          <w:sz w:val="24"/>
          <w:szCs w:val="24"/>
        </w:rPr>
        <w:sectPr>
          <w:headerReference r:id="rId5" w:type="default"/>
          <w:pgSz w:w="11906" w:h="16838"/>
          <w:pgMar w:top="1134" w:right="1418" w:bottom="1134" w:left="1418" w:header="851" w:footer="992" w:gutter="0"/>
          <w:pgBorders>
            <w:top w:val="none" w:sz="0" w:space="0"/>
            <w:left w:val="none" w:sz="0" w:space="0"/>
            <w:bottom w:val="none" w:sz="0" w:space="0"/>
            <w:right w:val="none" w:sz="0" w:space="0"/>
          </w:pgBorders>
          <w:cols w:space="720" w:num="1"/>
          <w:docGrid w:type="lines" w:linePitch="312" w:charSpace="0"/>
        </w:sectPr>
      </w:pPr>
    </w:p>
    <w:p>
      <w:pPr>
        <w:outlineLvl w:val="0"/>
        <w:rPr>
          <w:b/>
          <w:sz w:val="24"/>
          <w:szCs w:val="24"/>
        </w:rPr>
      </w:pPr>
      <w:r>
        <w:rPr>
          <w:b/>
          <w:sz w:val="24"/>
          <w:szCs w:val="24"/>
        </w:rPr>
        <w:t>表八</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95" w:hRule="atLeast"/>
          <w:jc w:val="center"/>
        </w:trPr>
        <w:tc>
          <w:tcPr>
            <w:tcW w:w="9422" w:type="dxa"/>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textAlignment w:val="auto"/>
              <w:rPr>
                <w:b/>
                <w:bCs/>
                <w:sz w:val="24"/>
              </w:rPr>
            </w:pPr>
            <w:r>
              <w:rPr>
                <w:b/>
                <w:bCs/>
                <w:sz w:val="24"/>
              </w:rPr>
              <w:t>验收监测结论：</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firstLine="480" w:firstLineChars="200"/>
              <w:textAlignment w:val="auto"/>
              <w:rPr>
                <w:color w:val="000000"/>
                <w:kern w:val="0"/>
                <w:sz w:val="24"/>
                <w:szCs w:val="24"/>
                <w:lang w:bidi="zh-CN"/>
              </w:rPr>
            </w:pPr>
            <w:r>
              <w:rPr>
                <w:color w:val="000000"/>
                <w:kern w:val="0"/>
                <w:sz w:val="24"/>
                <w:szCs w:val="24"/>
                <w:lang w:bidi="zh-CN"/>
              </w:rPr>
              <w:t>1、监测期间的生产工况</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firstLine="480" w:firstLineChars="200"/>
              <w:textAlignment w:val="auto"/>
              <w:rPr>
                <w:color w:val="000000"/>
                <w:kern w:val="0"/>
                <w:sz w:val="24"/>
                <w:szCs w:val="24"/>
                <w:lang w:bidi="zh-CN"/>
              </w:rPr>
            </w:pPr>
            <w:r>
              <w:rPr>
                <w:color w:val="000000"/>
                <w:kern w:val="0"/>
                <w:sz w:val="24"/>
                <w:szCs w:val="24"/>
                <w:lang w:bidi="zh-CN"/>
              </w:rPr>
              <w:t>验收监测期间（</w:t>
            </w:r>
            <w:r>
              <w:rPr>
                <w:rFonts w:hint="eastAsia"/>
                <w:color w:val="000000"/>
                <w:kern w:val="0"/>
                <w:sz w:val="24"/>
                <w:szCs w:val="24"/>
                <w:lang w:bidi="zh-CN"/>
              </w:rPr>
              <w:t>2022年7月11日、2022年7月12日</w:t>
            </w:r>
            <w:r>
              <w:rPr>
                <w:color w:val="000000"/>
                <w:kern w:val="0"/>
                <w:sz w:val="24"/>
                <w:szCs w:val="24"/>
                <w:lang w:bidi="zh-CN"/>
              </w:rPr>
              <w:t>），企业生产工况稳定，各类环保设施正常运行，符合建设项目竣工环境保护验收监测条件。</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color w:val="000000"/>
                <w:kern w:val="0"/>
                <w:sz w:val="24"/>
                <w:szCs w:val="24"/>
                <w:lang w:bidi="zh-CN"/>
              </w:rPr>
            </w:pPr>
            <w:r>
              <w:rPr>
                <w:color w:val="000000"/>
                <w:kern w:val="0"/>
                <w:sz w:val="24"/>
                <w:szCs w:val="24"/>
                <w:lang w:bidi="zh-CN"/>
              </w:rPr>
              <w:t>2、废水</w:t>
            </w:r>
          </w:p>
          <w:p>
            <w:pPr>
              <w:pStyle w:val="13"/>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ascii="Times New Roman" w:hAnsi="Times New Roman"/>
                <w:color w:val="000000"/>
                <w:kern w:val="0"/>
                <w:sz w:val="24"/>
                <w:szCs w:val="24"/>
                <w:lang w:bidi="zh-CN"/>
              </w:rPr>
            </w:pPr>
            <w:r>
              <w:rPr>
                <w:rFonts w:hint="eastAsia"/>
                <w:kern w:val="0"/>
                <w:sz w:val="24"/>
                <w:szCs w:val="20"/>
                <w:lang w:val="en-US" w:eastAsia="zh-CN"/>
              </w:rPr>
              <w:t>本项目</w:t>
            </w:r>
            <w:r>
              <w:rPr>
                <w:rFonts w:hint="eastAsia" w:ascii="Times New Roman" w:hAnsi="Arial" w:eastAsia="宋体" w:cs="Arial"/>
                <w:sz w:val="24"/>
                <w:szCs w:val="20"/>
                <w:lang w:val="en-US" w:eastAsia="zh-CN" w:bidi="ar"/>
              </w:rPr>
              <w:t>生活污水经化粪池</w:t>
            </w:r>
            <w:r>
              <w:rPr>
                <w:rFonts w:hint="eastAsia" w:hAnsi="Arial" w:cs="Arial"/>
                <w:sz w:val="24"/>
                <w:szCs w:val="20"/>
                <w:lang w:val="en-US" w:eastAsia="zh-CN" w:bidi="ar"/>
              </w:rPr>
              <w:t>厌氧</w:t>
            </w:r>
            <w:r>
              <w:rPr>
                <w:rFonts w:hint="eastAsia" w:ascii="Times New Roman" w:hAnsi="Arial" w:eastAsia="宋体" w:cs="Arial"/>
                <w:sz w:val="24"/>
                <w:szCs w:val="20"/>
                <w:lang w:val="en-US" w:eastAsia="zh-CN" w:bidi="ar"/>
              </w:rPr>
              <w:t>预处理后</w:t>
            </w:r>
            <w:r>
              <w:rPr>
                <w:rFonts w:hint="eastAsia" w:hAnsi="Arial" w:cs="Arial"/>
                <w:sz w:val="24"/>
                <w:szCs w:val="20"/>
                <w:lang w:val="en-US" w:eastAsia="zh-CN" w:bidi="ar"/>
              </w:rPr>
              <w:t>汇同雨水进入蓄水池，回用于公司矿区生态修复工程，不外排，蓄水池容量为1.2万立方米，足够容纳生活污水及雨水</w:t>
            </w:r>
            <w:r>
              <w:rPr>
                <w:rFonts w:hint="eastAsia"/>
                <w:kern w:val="0"/>
                <w:sz w:val="24"/>
                <w:szCs w:val="20"/>
              </w:rPr>
              <w:t>；生产废水</w:t>
            </w:r>
            <w:r>
              <w:rPr>
                <w:rFonts w:hint="eastAsia"/>
                <w:kern w:val="0"/>
                <w:sz w:val="24"/>
                <w:szCs w:val="20"/>
                <w:lang w:eastAsia="zh-CN"/>
              </w:rPr>
              <w:t>、车辆冲洗废水及场地清洗废水</w:t>
            </w:r>
            <w:r>
              <w:rPr>
                <w:rFonts w:hint="eastAsia"/>
                <w:kern w:val="0"/>
                <w:sz w:val="24"/>
                <w:szCs w:val="20"/>
              </w:rPr>
              <w:t>经三级沉淀、过滤处理后回用于</w:t>
            </w:r>
            <w:r>
              <w:rPr>
                <w:rFonts w:hint="eastAsia"/>
                <w:kern w:val="0"/>
                <w:sz w:val="24"/>
                <w:szCs w:val="20"/>
                <w:lang w:eastAsia="zh-CN"/>
              </w:rPr>
              <w:t>切割、打磨、整修湿法除尘工艺，不外排</w:t>
            </w:r>
            <w:r>
              <w:rPr>
                <w:rFonts w:hint="eastAsia"/>
                <w:kern w:val="0"/>
                <w:sz w:val="24"/>
                <w:szCs w:val="20"/>
              </w:rPr>
              <w:t>。对周边环境基本无影响</w:t>
            </w:r>
            <w:r>
              <w:rPr>
                <w:rFonts w:hint="default" w:ascii="Times New Roman" w:hAnsi="Times New Roman" w:eastAsia="宋体" w:cs="Times New Roman"/>
                <w:color w:val="000000"/>
                <w:kern w:val="0"/>
                <w:sz w:val="24"/>
                <w:szCs w:val="24"/>
                <w:lang w:bidi="zh-CN"/>
              </w:rPr>
              <w:t>。</w:t>
            </w:r>
          </w:p>
          <w:p>
            <w:pPr>
              <w:keepNext w:val="0"/>
              <w:keepLines w:val="0"/>
              <w:pageBreakBefore w:val="0"/>
              <w:widowControl w:val="0"/>
              <w:numPr>
                <w:ilvl w:val="0"/>
                <w:numId w:val="2"/>
              </w:numPr>
              <w:suppressLineNumbers w:val="0"/>
              <w:kinsoku/>
              <w:wordWrap/>
              <w:overflowPunct/>
              <w:topLinePunct w:val="0"/>
              <w:autoSpaceDE/>
              <w:autoSpaceDN/>
              <w:bidi w:val="0"/>
              <w:spacing w:before="0" w:beforeAutospacing="0" w:after="0" w:afterAutospacing="0" w:line="360" w:lineRule="auto"/>
              <w:ind w:left="0" w:right="0" w:firstLine="480"/>
              <w:textAlignment w:val="auto"/>
              <w:rPr>
                <w:color w:val="000000"/>
                <w:kern w:val="0"/>
                <w:sz w:val="24"/>
                <w:szCs w:val="24"/>
                <w:lang w:bidi="zh-CN"/>
              </w:rPr>
            </w:pPr>
            <w:r>
              <w:rPr>
                <w:color w:val="000000"/>
                <w:kern w:val="0"/>
                <w:sz w:val="24"/>
                <w:szCs w:val="24"/>
                <w:lang w:bidi="zh-CN"/>
              </w:rPr>
              <w:t>废气</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firstLine="480" w:firstLineChars="200"/>
              <w:textAlignment w:val="auto"/>
              <w:rPr>
                <w:color w:val="000000"/>
                <w:kern w:val="0"/>
                <w:sz w:val="24"/>
                <w:szCs w:val="24"/>
                <w:lang w:bidi="zh-CN"/>
              </w:rPr>
            </w:pPr>
            <w:bookmarkStart w:id="18" w:name="_Hlk36134516"/>
            <w:r>
              <w:rPr>
                <w:color w:val="000000"/>
                <w:kern w:val="0"/>
                <w:sz w:val="24"/>
                <w:szCs w:val="24"/>
                <w:lang w:bidi="zh-CN"/>
              </w:rPr>
              <w:t>验收监测期间（</w:t>
            </w:r>
            <w:r>
              <w:rPr>
                <w:rFonts w:hint="eastAsia"/>
                <w:color w:val="000000"/>
                <w:kern w:val="0"/>
                <w:sz w:val="24"/>
                <w:szCs w:val="24"/>
                <w:lang w:bidi="zh-CN"/>
              </w:rPr>
              <w:t>2022年7月11日、2022年7月12日</w:t>
            </w:r>
            <w:r>
              <w:rPr>
                <w:color w:val="000000"/>
                <w:kern w:val="0"/>
                <w:sz w:val="24"/>
                <w:szCs w:val="24"/>
                <w:lang w:bidi="zh-CN"/>
              </w:rPr>
              <w:t>），</w:t>
            </w:r>
            <w:bookmarkEnd w:id="18"/>
            <w:r>
              <w:rPr>
                <w:rFonts w:hint="eastAsia"/>
                <w:color w:val="000000"/>
                <w:kern w:val="0"/>
                <w:sz w:val="24"/>
                <w:szCs w:val="24"/>
                <w:lang w:val="en-US" w:eastAsia="zh-CN" w:bidi="zh-CN"/>
              </w:rPr>
              <w:t>厂界无组织总悬浮颗粒物浓度符合《大气污染物综合排放标准》（GB16297-1996）厂界无组织排放监控浓度限值。</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textAlignment w:val="auto"/>
              <w:rPr>
                <w:color w:val="000000"/>
                <w:kern w:val="0"/>
                <w:sz w:val="24"/>
                <w:szCs w:val="24"/>
                <w:lang w:bidi="zh-CN"/>
              </w:rPr>
            </w:pPr>
            <w:r>
              <w:rPr>
                <w:color w:val="000000"/>
                <w:kern w:val="0"/>
                <w:sz w:val="24"/>
                <w:szCs w:val="24"/>
                <w:lang w:bidi="zh-CN"/>
              </w:rPr>
              <w:t xml:space="preserve">    4、噪声</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firstLine="480"/>
              <w:textAlignment w:val="auto"/>
              <w:rPr>
                <w:color w:val="000000"/>
                <w:kern w:val="0"/>
                <w:sz w:val="24"/>
                <w:szCs w:val="24"/>
                <w:lang w:bidi="zh-CN"/>
              </w:rPr>
            </w:pPr>
            <w:bookmarkStart w:id="19" w:name="_Hlk36134524"/>
            <w:r>
              <w:rPr>
                <w:color w:val="000000"/>
                <w:kern w:val="0"/>
                <w:sz w:val="24"/>
                <w:szCs w:val="24"/>
                <w:lang w:bidi="zh-CN"/>
              </w:rPr>
              <w:t>验收监测期间（</w:t>
            </w:r>
            <w:r>
              <w:rPr>
                <w:rFonts w:hint="eastAsia"/>
                <w:color w:val="000000"/>
                <w:kern w:val="0"/>
                <w:sz w:val="24"/>
                <w:szCs w:val="24"/>
                <w:lang w:bidi="zh-CN"/>
              </w:rPr>
              <w:t>2022年7月11日、2022年7月12日</w:t>
            </w:r>
            <w:r>
              <w:rPr>
                <w:color w:val="000000"/>
                <w:kern w:val="0"/>
                <w:sz w:val="24"/>
                <w:szCs w:val="24"/>
                <w:lang w:bidi="zh-CN"/>
              </w:rPr>
              <w:t>），项目厂界</w:t>
            </w:r>
            <w:r>
              <w:rPr>
                <w:rFonts w:hint="eastAsia"/>
                <w:color w:val="000000"/>
                <w:kern w:val="0"/>
                <w:sz w:val="24"/>
                <w:szCs w:val="24"/>
                <w:lang w:val="en-US" w:bidi="zh-CN"/>
              </w:rPr>
              <w:t>四周</w:t>
            </w:r>
            <w:r>
              <w:rPr>
                <w:color w:val="000000"/>
                <w:kern w:val="0"/>
                <w:sz w:val="24"/>
                <w:szCs w:val="24"/>
                <w:lang w:bidi="zh-CN"/>
              </w:rPr>
              <w:t>噪声监测点昼间噪声均符合《工业企业厂界环境噪声排放标准》（GB12348-2008）</w:t>
            </w:r>
            <w:r>
              <w:rPr>
                <w:rFonts w:hint="eastAsia"/>
                <w:color w:val="000000"/>
                <w:kern w:val="0"/>
                <w:sz w:val="24"/>
                <w:szCs w:val="24"/>
                <w:lang w:val="en-US" w:bidi="zh-CN"/>
              </w:rPr>
              <w:t>2</w:t>
            </w:r>
            <w:r>
              <w:rPr>
                <w:color w:val="000000"/>
                <w:kern w:val="0"/>
                <w:sz w:val="24"/>
                <w:szCs w:val="24"/>
                <w:lang w:bidi="zh-CN"/>
              </w:rPr>
              <w:t>类标准。</w:t>
            </w:r>
            <w:bookmarkEnd w:id="19"/>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firstLine="480" w:firstLineChars="200"/>
              <w:textAlignment w:val="auto"/>
              <w:rPr>
                <w:color w:val="000000"/>
                <w:kern w:val="0"/>
                <w:sz w:val="24"/>
                <w:szCs w:val="24"/>
                <w:lang w:bidi="zh-CN"/>
              </w:rPr>
            </w:pPr>
            <w:r>
              <w:rPr>
                <w:color w:val="000000"/>
                <w:kern w:val="0"/>
                <w:sz w:val="24"/>
                <w:szCs w:val="24"/>
                <w:lang w:bidi="zh-CN"/>
              </w:rPr>
              <w:t>5、固废</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348" w:lineRule="auto"/>
              <w:ind w:left="0" w:right="0" w:firstLine="480" w:firstLineChars="200"/>
              <w:textAlignment w:val="auto"/>
              <w:rPr>
                <w:rFonts w:hint="default"/>
                <w:lang w:val="en-US"/>
              </w:rPr>
            </w:pPr>
            <w:r>
              <w:rPr>
                <w:rFonts w:hint="default"/>
                <w:color w:val="000000"/>
                <w:kern w:val="0"/>
                <w:sz w:val="24"/>
                <w:szCs w:val="24"/>
                <w:lang w:val="en-US" w:eastAsia="zh-CN" w:bidi="zh-CN"/>
              </w:rPr>
              <w:t>本项</w:t>
            </w:r>
            <w:r>
              <w:rPr>
                <w:rFonts w:hint="eastAsia"/>
                <w:color w:val="000000"/>
                <w:kern w:val="0"/>
                <w:sz w:val="24"/>
                <w:szCs w:val="24"/>
                <w:lang w:val="en-US" w:eastAsia="zh-CN" w:bidi="zh-CN"/>
              </w:rPr>
              <w:t>目固废主要为边角料、沉淀池沉渣、废钨钢刀头和生活垃圾。边角料全部外卖，综合利用；沉淀池沉渣</w:t>
            </w:r>
            <w:r>
              <w:rPr>
                <w:rFonts w:hint="default"/>
                <w:color w:val="000000"/>
                <w:kern w:val="0"/>
                <w:sz w:val="24"/>
                <w:szCs w:val="24"/>
                <w:lang w:val="en-US" w:eastAsia="zh-CN" w:bidi="zh-CN"/>
              </w:rPr>
              <w:t>收集后</w:t>
            </w:r>
            <w:r>
              <w:rPr>
                <w:rFonts w:hint="eastAsia"/>
                <w:color w:val="000000"/>
                <w:kern w:val="0"/>
                <w:sz w:val="24"/>
                <w:szCs w:val="24"/>
                <w:lang w:val="en-US" w:eastAsia="zh-CN" w:bidi="zh-CN"/>
              </w:rPr>
              <w:t>用于公司矿区矿山修复工程喷播；废钨钢刀头收集后全部外卖，综合利用；生活垃圾委托环卫部门清运。</w:t>
            </w:r>
          </w:p>
          <w:p>
            <w:pPr>
              <w:keepNext w:val="0"/>
              <w:keepLines w:val="0"/>
              <w:suppressLineNumbers w:val="0"/>
              <w:spacing w:before="0" w:beforeAutospacing="0" w:after="0" w:afterAutospacing="0" w:line="336" w:lineRule="auto"/>
              <w:ind w:left="0" w:right="0"/>
              <w:rPr>
                <w:b/>
                <w:bCs/>
                <w:sz w:val="24"/>
              </w:rPr>
            </w:pPr>
            <w:r>
              <w:rPr>
                <w:b/>
                <w:bCs/>
                <w:sz w:val="24"/>
              </w:rPr>
              <w:t>结论</w:t>
            </w:r>
          </w:p>
          <w:p>
            <w:pPr>
              <w:keepNext w:val="0"/>
              <w:keepLines w:val="0"/>
              <w:suppressLineNumbers w:val="0"/>
              <w:spacing w:before="0" w:beforeAutospacing="0" w:after="0" w:afterAutospacing="0" w:line="336" w:lineRule="auto"/>
              <w:ind w:left="0" w:right="0" w:firstLine="480" w:firstLineChars="200"/>
              <w:rPr>
                <w:b/>
                <w:bCs/>
                <w:sz w:val="24"/>
              </w:rPr>
            </w:pPr>
            <w:r>
              <w:rPr>
                <w:rFonts w:hint="eastAsia" w:cs="Times New Roman"/>
                <w:color w:val="000000"/>
                <w:sz w:val="24"/>
                <w:szCs w:val="24"/>
                <w:lang w:eastAsia="zh-CN"/>
              </w:rPr>
              <w:t>宁波市海曙诺盛矿业有限公司年加工20000立方石材生产线项目</w:t>
            </w:r>
            <w:r>
              <w:rPr>
                <w:rFonts w:ascii="Times New Roman" w:hAnsi="Times New Roman" w:cs="Times New Roman"/>
                <w:color w:val="000000"/>
                <w:sz w:val="24"/>
                <w:szCs w:val="24"/>
              </w:rPr>
              <w:t>在建设及运营中，按照建设</w:t>
            </w:r>
            <w:r>
              <w:rPr>
                <w:color w:val="000000"/>
                <w:sz w:val="24"/>
                <w:szCs w:val="24"/>
              </w:rPr>
              <w:t>项目环境保护“三同时”的有关要求，基本落实了环评报告表和批复意见中要求的环保设施与措施；废气、</w:t>
            </w:r>
            <w:r>
              <w:rPr>
                <w:rFonts w:hint="eastAsia"/>
                <w:color w:val="000000"/>
                <w:sz w:val="24"/>
                <w:szCs w:val="24"/>
              </w:rPr>
              <w:t>废水、</w:t>
            </w:r>
            <w:r>
              <w:rPr>
                <w:color w:val="000000"/>
                <w:sz w:val="24"/>
                <w:szCs w:val="24"/>
              </w:rPr>
              <w:t>噪声达标排放，固体废弃物处置等方面符合相关要求，符合建设项目环境保护设施竣工验收条件。</w:t>
            </w:r>
          </w:p>
          <w:p>
            <w:pPr>
              <w:keepNext w:val="0"/>
              <w:keepLines w:val="0"/>
              <w:suppressLineNumbers w:val="0"/>
              <w:spacing w:before="0" w:beforeAutospacing="0" w:after="0" w:afterAutospacing="0" w:line="360" w:lineRule="auto"/>
              <w:ind w:left="0" w:right="0"/>
              <w:rPr>
                <w:b/>
                <w:bCs/>
                <w:sz w:val="24"/>
              </w:rPr>
            </w:pPr>
            <w:r>
              <w:rPr>
                <w:b/>
                <w:bCs/>
                <w:sz w:val="24"/>
              </w:rPr>
              <w:t>建议：</w:t>
            </w:r>
          </w:p>
          <w:p>
            <w:pPr>
              <w:pStyle w:val="72"/>
              <w:keepNext w:val="0"/>
              <w:keepLines w:val="0"/>
              <w:numPr>
                <w:ilvl w:val="0"/>
                <w:numId w:val="3"/>
              </w:numPr>
              <w:suppressLineNumbers w:val="0"/>
              <w:autoSpaceDE w:val="0"/>
              <w:autoSpaceDN w:val="0"/>
              <w:spacing w:before="0" w:beforeAutospacing="0" w:after="0" w:afterAutospacing="0" w:line="336" w:lineRule="auto"/>
              <w:ind w:left="0" w:right="0" w:firstLine="480"/>
              <w:contextualSpacing/>
              <w:rPr>
                <w:sz w:val="24"/>
                <w:szCs w:val="24"/>
              </w:rPr>
            </w:pPr>
            <w:r>
              <w:rPr>
                <w:sz w:val="24"/>
              </w:rPr>
              <w:t>加强固体废弃物的管理，做好台账，杜绝二次污染。</w:t>
            </w:r>
          </w:p>
          <w:p>
            <w:pPr>
              <w:pStyle w:val="13"/>
              <w:keepNext w:val="0"/>
              <w:keepLines w:val="0"/>
              <w:suppressLineNumbers w:val="0"/>
              <w:spacing w:before="0" w:beforeAutospacing="0" w:after="0" w:afterAutospacing="0" w:line="360" w:lineRule="auto"/>
              <w:ind w:left="0" w:right="0" w:firstLine="480" w:firstLineChars="200"/>
              <w:rPr>
                <w:rFonts w:ascii="Times New Roman" w:hAnsi="Times New Roman"/>
                <w:sz w:val="24"/>
              </w:rPr>
            </w:pPr>
            <w:r>
              <w:rPr>
                <w:rFonts w:hint="eastAsia" w:ascii="Times New Roman" w:hAnsi="Times New Roman"/>
                <w:sz w:val="24"/>
                <w:szCs w:val="24"/>
                <w:lang w:val="en-US" w:eastAsia="zh-CN"/>
              </w:rPr>
              <w:t>2</w:t>
            </w:r>
            <w:r>
              <w:rPr>
                <w:rFonts w:ascii="Times New Roman" w:hAnsi="Times New Roman"/>
                <w:sz w:val="24"/>
                <w:szCs w:val="24"/>
              </w:rPr>
              <w:t>、完善长效的环保管理机制，定期开展环境风险自查，确保环境安全。</w:t>
            </w:r>
          </w:p>
        </w:tc>
      </w:tr>
    </w:tbl>
    <w:p>
      <w:pPr>
        <w:jc w:val="left"/>
        <w:rPr>
          <w:b/>
          <w:bCs/>
          <w:sz w:val="24"/>
          <w:szCs w:val="24"/>
        </w:rPr>
        <w:sectPr>
          <w:pgSz w:w="11906" w:h="16838"/>
          <w:pgMar w:top="1134" w:right="1417" w:bottom="1134" w:left="1417" w:header="624" w:footer="992" w:gutter="0"/>
          <w:pgBorders>
            <w:top w:val="none" w:sz="0" w:space="0"/>
            <w:left w:val="none" w:sz="0" w:space="0"/>
            <w:bottom w:val="none" w:sz="0" w:space="0"/>
            <w:right w:val="none" w:sz="0" w:space="0"/>
          </w:pgBorders>
          <w:cols w:space="720" w:num="1"/>
          <w:docGrid w:type="lines" w:linePitch="312" w:charSpace="0"/>
        </w:sectPr>
      </w:pPr>
    </w:p>
    <w:p>
      <w:pPr>
        <w:outlineLvl w:val="0"/>
        <w:rPr>
          <w:b/>
          <w:sz w:val="24"/>
          <w:szCs w:val="24"/>
        </w:rPr>
      </w:pPr>
      <w:r>
        <w:rPr>
          <w:b/>
          <w:sz w:val="24"/>
          <w:szCs w:val="24"/>
        </w:rPr>
        <w:t>附件</w:t>
      </w:r>
      <w:r>
        <w:rPr>
          <w:rFonts w:hint="eastAsia"/>
          <w:b/>
          <w:sz w:val="24"/>
          <w:szCs w:val="24"/>
        </w:rPr>
        <w:t>一</w:t>
      </w:r>
      <w:r>
        <w:rPr>
          <w:b/>
          <w:sz w:val="24"/>
          <w:szCs w:val="24"/>
        </w:rPr>
        <w:t>：环评批复</w:t>
      </w:r>
    </w:p>
    <w:p>
      <w:pPr>
        <w:jc w:val="center"/>
        <w:rPr>
          <w:rFonts w:hint="eastAsia" w:eastAsia="宋体"/>
          <w:lang w:eastAsia="zh-CN"/>
        </w:rPr>
        <w:sectPr>
          <w:pgSz w:w="11906" w:h="16838"/>
          <w:pgMar w:top="1134" w:right="1417" w:bottom="1134" w:left="1417"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eastAsia="宋体"/>
          <w:lang w:eastAsia="zh-CN"/>
        </w:rPr>
        <w:drawing>
          <wp:inline distT="0" distB="0" distL="114300" distR="114300">
            <wp:extent cx="5247005" cy="8625205"/>
            <wp:effectExtent l="0" t="0" r="10795" b="10795"/>
            <wp:docPr id="56" name="图片 56" descr="3F91C26696375AD2E06893CE5B37AB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3F91C26696375AD2E06893CE5B37ABB9"/>
                    <pic:cNvPicPr>
                      <a:picLocks noChangeAspect="1"/>
                    </pic:cNvPicPr>
                  </pic:nvPicPr>
                  <pic:blipFill>
                    <a:blip r:embed="rId11"/>
                    <a:srcRect t="8797" b="15351"/>
                    <a:stretch>
                      <a:fillRect/>
                    </a:stretch>
                  </pic:blipFill>
                  <pic:spPr>
                    <a:xfrm>
                      <a:off x="0" y="0"/>
                      <a:ext cx="5247005" cy="8625205"/>
                    </a:xfrm>
                    <a:prstGeom prst="rect">
                      <a:avLst/>
                    </a:prstGeom>
                  </pic:spPr>
                </pic:pic>
              </a:graphicData>
            </a:graphic>
          </wp:inline>
        </w:drawing>
      </w:r>
      <w:r>
        <w:rPr>
          <w:rFonts w:hint="eastAsia" w:eastAsia="宋体"/>
          <w:lang w:eastAsia="zh-CN"/>
        </w:rPr>
        <w:drawing>
          <wp:inline distT="0" distB="0" distL="114300" distR="114300">
            <wp:extent cx="5151755" cy="8392795"/>
            <wp:effectExtent l="0" t="0" r="4445" b="1905"/>
            <wp:docPr id="57" name="图片 57" descr="D53DD7ACD001DBB8C525E989E22307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D53DD7ACD001DBB8C525E989E223070B"/>
                    <pic:cNvPicPr>
                      <a:picLocks noChangeAspect="1"/>
                    </pic:cNvPicPr>
                  </pic:nvPicPr>
                  <pic:blipFill>
                    <a:blip r:embed="rId12"/>
                    <a:srcRect t="11384" b="13454"/>
                    <a:stretch>
                      <a:fillRect/>
                    </a:stretch>
                  </pic:blipFill>
                  <pic:spPr>
                    <a:xfrm>
                      <a:off x="0" y="0"/>
                      <a:ext cx="5151755" cy="8392795"/>
                    </a:xfrm>
                    <a:prstGeom prst="rect">
                      <a:avLst/>
                    </a:prstGeom>
                  </pic:spPr>
                </pic:pic>
              </a:graphicData>
            </a:graphic>
          </wp:inline>
        </w:drawing>
      </w:r>
    </w:p>
    <w:p>
      <w:pPr>
        <w:outlineLvl w:val="0"/>
        <w:rPr>
          <w:b/>
          <w:sz w:val="24"/>
          <w:szCs w:val="24"/>
        </w:rPr>
      </w:pPr>
      <w:r>
        <w:rPr>
          <w:b/>
          <w:sz w:val="24"/>
          <w:szCs w:val="24"/>
        </w:rPr>
        <w:t>附件</w:t>
      </w:r>
      <w:r>
        <w:rPr>
          <w:rFonts w:hint="eastAsia"/>
          <w:b/>
          <w:sz w:val="24"/>
          <w:szCs w:val="24"/>
        </w:rPr>
        <w:t>二</w:t>
      </w:r>
      <w:r>
        <w:rPr>
          <w:b/>
          <w:sz w:val="24"/>
          <w:szCs w:val="24"/>
        </w:rPr>
        <w:t>：验收监测</w:t>
      </w:r>
      <w:r>
        <w:rPr>
          <w:rFonts w:hint="eastAsia"/>
          <w:b/>
          <w:sz w:val="24"/>
          <w:szCs w:val="24"/>
        </w:rPr>
        <w:t>期间</w:t>
      </w:r>
      <w:r>
        <w:rPr>
          <w:b/>
          <w:sz w:val="24"/>
          <w:szCs w:val="24"/>
        </w:rPr>
        <w:t>工况表</w:t>
      </w:r>
    </w:p>
    <w:p>
      <w:pPr>
        <w:jc w:val="center"/>
      </w:pPr>
    </w:p>
    <w:p>
      <w:pPr>
        <w:jc w:val="center"/>
        <w:rPr>
          <w:rFonts w:hint="eastAsia" w:eastAsia="宋体"/>
          <w:lang w:eastAsia="zh-CN"/>
        </w:rPr>
      </w:pPr>
      <w:r>
        <w:rPr>
          <w:rFonts w:hint="eastAsia" w:eastAsia="宋体"/>
          <w:lang w:eastAsia="zh-CN"/>
        </w:rPr>
        <w:drawing>
          <wp:inline distT="0" distB="0" distL="114300" distR="114300">
            <wp:extent cx="5754370" cy="7687945"/>
            <wp:effectExtent l="0" t="0" r="11430" b="8255"/>
            <wp:docPr id="3" name="图片 3" descr="cd9592c01c3cbbd1214469c1f9d39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9592c01c3cbbd1214469c1f9d39c9"/>
                    <pic:cNvPicPr>
                      <a:picLocks noChangeAspect="1"/>
                    </pic:cNvPicPr>
                  </pic:nvPicPr>
                  <pic:blipFill>
                    <a:blip r:embed="rId13"/>
                    <a:stretch>
                      <a:fillRect/>
                    </a:stretch>
                  </pic:blipFill>
                  <pic:spPr>
                    <a:xfrm>
                      <a:off x="0" y="0"/>
                      <a:ext cx="5754370" cy="7687945"/>
                    </a:xfrm>
                    <a:prstGeom prst="rect">
                      <a:avLst/>
                    </a:prstGeom>
                  </pic:spPr>
                </pic:pic>
              </a:graphicData>
            </a:graphic>
          </wp:inline>
        </w:drawing>
      </w:r>
    </w:p>
    <w:p>
      <w:pPr>
        <w:jc w:val="center"/>
        <w:rPr>
          <w:b/>
          <w:bCs/>
          <w:sz w:val="24"/>
          <w:szCs w:val="24"/>
        </w:rPr>
        <w:sectPr>
          <w:pgSz w:w="11906" w:h="16838"/>
          <w:pgMar w:top="1134" w:right="1417" w:bottom="1134" w:left="1417" w:header="851" w:footer="992" w:gutter="0"/>
          <w:pgBorders>
            <w:top w:val="none" w:sz="0" w:space="0"/>
            <w:left w:val="none" w:sz="0" w:space="0"/>
            <w:bottom w:val="none" w:sz="0" w:space="0"/>
            <w:right w:val="none" w:sz="0" w:space="0"/>
          </w:pgBorders>
          <w:cols w:space="720" w:num="1"/>
          <w:docGrid w:type="lines" w:linePitch="312" w:charSpace="0"/>
        </w:sectPr>
      </w:pPr>
    </w:p>
    <w:p>
      <w:pPr>
        <w:outlineLvl w:val="0"/>
        <w:rPr>
          <w:b/>
          <w:color w:val="auto"/>
          <w:sz w:val="24"/>
          <w:szCs w:val="24"/>
        </w:rPr>
      </w:pPr>
      <w:r>
        <w:rPr>
          <w:b/>
          <w:color w:val="auto"/>
          <w:sz w:val="24"/>
          <w:szCs w:val="24"/>
        </w:rPr>
        <w:t>附件三：主要设备清单及原辅料清单</w:t>
      </w:r>
    </w:p>
    <w:p>
      <w:pPr>
        <w:rPr>
          <w:b/>
          <w:sz w:val="24"/>
          <w:szCs w:val="24"/>
        </w:rPr>
      </w:pPr>
    </w:p>
    <w:p>
      <w:pPr>
        <w:outlineLvl w:val="0"/>
        <w:rPr>
          <w:rFonts w:hint="default" w:eastAsia="宋体"/>
          <w:b/>
          <w:sz w:val="24"/>
          <w:szCs w:val="24"/>
          <w:lang w:val="en-US" w:eastAsia="zh-CN"/>
        </w:rPr>
      </w:pPr>
      <w:r>
        <w:rPr>
          <w:b/>
          <w:sz w:val="24"/>
          <w:szCs w:val="24"/>
        </w:rPr>
        <w:drawing>
          <wp:inline distT="0" distB="0" distL="114300" distR="114300">
            <wp:extent cx="5754370" cy="7876540"/>
            <wp:effectExtent l="0" t="0" r="11430" b="10160"/>
            <wp:docPr id="4" name="图片 4" descr="022973f366fffa9cbc46277efbf74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22973f366fffa9cbc46277efbf74df"/>
                    <pic:cNvPicPr>
                      <a:picLocks noChangeAspect="1"/>
                    </pic:cNvPicPr>
                  </pic:nvPicPr>
                  <pic:blipFill>
                    <a:blip r:embed="rId14"/>
                    <a:stretch>
                      <a:fillRect/>
                    </a:stretch>
                  </pic:blipFill>
                  <pic:spPr>
                    <a:xfrm>
                      <a:off x="0" y="0"/>
                      <a:ext cx="5754370" cy="7876540"/>
                    </a:xfrm>
                    <a:prstGeom prst="rect">
                      <a:avLst/>
                    </a:prstGeom>
                  </pic:spPr>
                </pic:pic>
              </a:graphicData>
            </a:graphic>
          </wp:inline>
        </w:drawing>
      </w:r>
      <w:r>
        <w:rPr>
          <w:b/>
          <w:sz w:val="24"/>
          <w:szCs w:val="24"/>
        </w:rPr>
        <w:br w:type="page"/>
      </w:r>
      <w:r>
        <w:rPr>
          <w:b/>
          <w:sz w:val="24"/>
          <w:szCs w:val="24"/>
        </w:rPr>
        <w:t>附件</w:t>
      </w:r>
      <w:r>
        <w:rPr>
          <w:rFonts w:hint="eastAsia"/>
          <w:b/>
          <w:sz w:val="24"/>
          <w:szCs w:val="24"/>
          <w:lang w:val="en-US" w:eastAsia="zh-CN"/>
        </w:rPr>
        <w:t>四</w:t>
      </w:r>
      <w:r>
        <w:rPr>
          <w:b/>
          <w:sz w:val="24"/>
          <w:szCs w:val="24"/>
        </w:rPr>
        <w:t>：</w:t>
      </w:r>
      <w:r>
        <w:rPr>
          <w:rFonts w:hint="eastAsia"/>
          <w:b/>
          <w:sz w:val="24"/>
          <w:szCs w:val="24"/>
          <w:lang w:val="en-US" w:eastAsia="zh-CN"/>
        </w:rPr>
        <w:t>排污登记回执</w:t>
      </w:r>
    </w:p>
    <w:p>
      <w:pPr>
        <w:jc w:val="left"/>
        <w:rPr>
          <w:rFonts w:hint="eastAsia" w:eastAsia="宋体"/>
          <w:b/>
          <w:sz w:val="24"/>
          <w:szCs w:val="24"/>
          <w:lang w:eastAsia="zh-CN"/>
        </w:rPr>
      </w:pPr>
      <w:bookmarkStart w:id="23" w:name="_GoBack"/>
      <w:r>
        <w:rPr>
          <w:rFonts w:hint="eastAsia" w:eastAsia="宋体"/>
          <w:b/>
          <w:sz w:val="24"/>
          <w:szCs w:val="24"/>
          <w:lang w:eastAsia="zh-CN"/>
        </w:rPr>
        <w:drawing>
          <wp:inline distT="0" distB="0" distL="114300" distR="114300">
            <wp:extent cx="5757545" cy="7374255"/>
            <wp:effectExtent l="0" t="0" r="8255" b="4445"/>
            <wp:docPr id="64" name="图片 64" descr="F)GW1PCE@0HP]@~3%[]S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F)GW1PCE@0HP]@~3%[]S862"/>
                    <pic:cNvPicPr>
                      <a:picLocks noChangeAspect="1"/>
                    </pic:cNvPicPr>
                  </pic:nvPicPr>
                  <pic:blipFill>
                    <a:blip r:embed="rId15"/>
                    <a:stretch>
                      <a:fillRect/>
                    </a:stretch>
                  </pic:blipFill>
                  <pic:spPr>
                    <a:xfrm>
                      <a:off x="0" y="0"/>
                      <a:ext cx="5757545" cy="7374255"/>
                    </a:xfrm>
                    <a:prstGeom prst="rect">
                      <a:avLst/>
                    </a:prstGeom>
                  </pic:spPr>
                </pic:pic>
              </a:graphicData>
            </a:graphic>
          </wp:inline>
        </w:drawing>
      </w:r>
      <w:bookmarkEnd w:id="23"/>
    </w:p>
    <w:p>
      <w:pPr>
        <w:rPr>
          <w:rFonts w:hint="eastAsia" w:eastAsia="宋体"/>
          <w:b/>
          <w:sz w:val="24"/>
          <w:szCs w:val="24"/>
          <w:lang w:eastAsia="zh-CN"/>
        </w:rPr>
      </w:pPr>
    </w:p>
    <w:p>
      <w:pPr>
        <w:rPr>
          <w:b/>
          <w:sz w:val="24"/>
          <w:szCs w:val="24"/>
        </w:rPr>
      </w:pPr>
      <w:r>
        <w:rPr>
          <w:b/>
          <w:sz w:val="24"/>
          <w:szCs w:val="24"/>
        </w:rPr>
        <w:br w:type="page"/>
      </w:r>
    </w:p>
    <w:p>
      <w:pPr>
        <w:outlineLvl w:val="0"/>
        <w:rPr>
          <w:rFonts w:hint="default" w:eastAsia="宋体"/>
          <w:b/>
          <w:sz w:val="24"/>
          <w:szCs w:val="24"/>
          <w:lang w:val="en-US" w:eastAsia="zh-CN"/>
        </w:rPr>
      </w:pPr>
      <w:r>
        <w:rPr>
          <w:b/>
          <w:sz w:val="24"/>
          <w:szCs w:val="24"/>
        </w:rPr>
        <w:t>附件</w:t>
      </w:r>
      <w:r>
        <w:rPr>
          <w:rFonts w:hint="eastAsia"/>
          <w:b/>
          <w:sz w:val="24"/>
          <w:szCs w:val="24"/>
          <w:lang w:val="en-US" w:eastAsia="zh-CN"/>
        </w:rPr>
        <w:t>五</w:t>
      </w:r>
      <w:r>
        <w:rPr>
          <w:b/>
          <w:sz w:val="24"/>
          <w:szCs w:val="24"/>
        </w:rPr>
        <w:t>：</w:t>
      </w:r>
      <w:r>
        <w:rPr>
          <w:rFonts w:hint="eastAsia"/>
          <w:b/>
          <w:sz w:val="24"/>
          <w:szCs w:val="24"/>
          <w:lang w:val="en-US" w:eastAsia="zh-CN"/>
        </w:rPr>
        <w:t>营业执照</w:t>
      </w:r>
    </w:p>
    <w:p>
      <w:pPr>
        <w:bidi w:val="0"/>
        <w:rPr>
          <w:rFonts w:hint="eastAsia"/>
        </w:rPr>
      </w:pPr>
      <w:r>
        <w:rPr>
          <w:rFonts w:hint="eastAsia"/>
        </w:rPr>
        <w:drawing>
          <wp:inline distT="0" distB="0" distL="114300" distR="114300">
            <wp:extent cx="5521325" cy="7821930"/>
            <wp:effectExtent l="0" t="0" r="3175" b="1270"/>
            <wp:docPr id="6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
                    <pic:cNvPicPr>
                      <a:picLocks noChangeAspect="1"/>
                    </pic:cNvPicPr>
                  </pic:nvPicPr>
                  <pic:blipFill>
                    <a:blip r:embed="rId16"/>
                    <a:stretch>
                      <a:fillRect/>
                    </a:stretch>
                  </pic:blipFill>
                  <pic:spPr>
                    <a:xfrm>
                      <a:off x="0" y="0"/>
                      <a:ext cx="5521325" cy="7821930"/>
                    </a:xfrm>
                    <a:prstGeom prst="rect">
                      <a:avLst/>
                    </a:prstGeom>
                    <a:noFill/>
                    <a:ln>
                      <a:noFill/>
                    </a:ln>
                  </pic:spPr>
                </pic:pic>
              </a:graphicData>
            </a:graphic>
          </wp:inline>
        </w:drawing>
      </w:r>
      <w:r>
        <w:rPr>
          <w:rFonts w:hint="eastAsia"/>
        </w:rPr>
        <w:br w:type="textWrapping"/>
      </w:r>
    </w:p>
    <w:p>
      <w:pPr>
        <w:rPr>
          <w:rFonts w:hint="eastAsia" w:ascii="Times New Roman" w:cs="Arial"/>
          <w:b/>
        </w:rPr>
      </w:pPr>
      <w:r>
        <w:rPr>
          <w:rFonts w:hint="eastAsia" w:ascii="Times New Roman" w:cs="Arial"/>
          <w:b/>
        </w:rPr>
        <w:br w:type="page"/>
      </w:r>
    </w:p>
    <w:p>
      <w:pPr>
        <w:outlineLvl w:val="0"/>
        <w:rPr>
          <w:rFonts w:hint="eastAsia"/>
          <w:b/>
          <w:sz w:val="24"/>
          <w:szCs w:val="24"/>
          <w:lang w:eastAsia="zh-CN"/>
        </w:rPr>
      </w:pPr>
      <w:r>
        <w:rPr>
          <w:b/>
          <w:sz w:val="24"/>
          <w:szCs w:val="24"/>
        </w:rPr>
        <w:t>附件</w:t>
      </w:r>
      <w:r>
        <w:rPr>
          <w:rFonts w:hint="eastAsia"/>
          <w:b/>
          <w:sz w:val="24"/>
          <w:szCs w:val="24"/>
          <w:lang w:val="en-US" w:eastAsia="zh-CN"/>
        </w:rPr>
        <w:t>六</w:t>
      </w:r>
      <w:r>
        <w:rPr>
          <w:b/>
          <w:sz w:val="24"/>
          <w:szCs w:val="24"/>
        </w:rPr>
        <w:t>：</w:t>
      </w:r>
      <w:r>
        <w:rPr>
          <w:rFonts w:hint="eastAsia"/>
          <w:b/>
          <w:sz w:val="24"/>
          <w:szCs w:val="24"/>
          <w:lang w:eastAsia="zh-CN"/>
        </w:rPr>
        <w:t>应急预案备案表</w:t>
      </w:r>
    </w:p>
    <w:p>
      <w:pPr>
        <w:pStyle w:val="2"/>
        <w:rPr>
          <w:rFonts w:hint="eastAsia"/>
          <w:lang w:eastAsia="zh-CN"/>
        </w:rPr>
      </w:pPr>
      <w:r>
        <w:rPr>
          <w:rFonts w:hint="eastAsia"/>
          <w:lang w:eastAsia="zh-CN"/>
        </w:rPr>
        <w:drawing>
          <wp:inline distT="0" distB="0" distL="114300" distR="114300">
            <wp:extent cx="5760720" cy="7246620"/>
            <wp:effectExtent l="0" t="0" r="11430" b="11430"/>
            <wp:docPr id="2" name="图片 2" descr="8634e9f7b4bdb0b85ae216e59602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634e9f7b4bdb0b85ae216e596024cf"/>
                    <pic:cNvPicPr>
                      <a:picLocks noChangeAspect="1"/>
                    </pic:cNvPicPr>
                  </pic:nvPicPr>
                  <pic:blipFill>
                    <a:blip r:embed="rId17"/>
                    <a:stretch>
                      <a:fillRect/>
                    </a:stretch>
                  </pic:blipFill>
                  <pic:spPr>
                    <a:xfrm>
                      <a:off x="0" y="0"/>
                      <a:ext cx="5760720" cy="7246620"/>
                    </a:xfrm>
                    <a:prstGeom prst="rect">
                      <a:avLst/>
                    </a:prstGeom>
                  </pic:spPr>
                </pic:pic>
              </a:graphicData>
            </a:graphic>
          </wp:inline>
        </w:drawing>
      </w:r>
    </w:p>
    <w:p>
      <w:pPr>
        <w:pStyle w:val="2"/>
        <w:rPr>
          <w:b/>
          <w:sz w:val="24"/>
          <w:szCs w:val="24"/>
        </w:rPr>
      </w:pPr>
    </w:p>
    <w:p>
      <w:pPr>
        <w:pStyle w:val="2"/>
        <w:rPr>
          <w:b/>
          <w:sz w:val="24"/>
          <w:szCs w:val="24"/>
        </w:rPr>
      </w:pPr>
    </w:p>
    <w:p>
      <w:pPr>
        <w:pStyle w:val="2"/>
        <w:rPr>
          <w:b/>
          <w:sz w:val="24"/>
          <w:szCs w:val="24"/>
        </w:rPr>
      </w:pPr>
    </w:p>
    <w:p>
      <w:pPr>
        <w:pStyle w:val="2"/>
        <w:rPr>
          <w:b/>
          <w:sz w:val="24"/>
          <w:szCs w:val="24"/>
        </w:rPr>
      </w:pPr>
    </w:p>
    <w:p>
      <w:pPr>
        <w:pStyle w:val="2"/>
        <w:rPr>
          <w:b/>
          <w:sz w:val="24"/>
          <w:szCs w:val="24"/>
        </w:rPr>
      </w:pPr>
    </w:p>
    <w:p>
      <w:pPr>
        <w:pStyle w:val="2"/>
        <w:rPr>
          <w:b/>
          <w:sz w:val="24"/>
          <w:szCs w:val="24"/>
        </w:rPr>
      </w:pPr>
    </w:p>
    <w:p>
      <w:pPr>
        <w:pStyle w:val="2"/>
        <w:rPr>
          <w:b/>
          <w:sz w:val="24"/>
          <w:szCs w:val="24"/>
        </w:rPr>
      </w:pPr>
    </w:p>
    <w:p>
      <w:pPr>
        <w:pStyle w:val="2"/>
        <w:ind w:left="0" w:leftChars="0" w:firstLine="0" w:firstLineChars="0"/>
        <w:rPr>
          <w:b/>
          <w:sz w:val="24"/>
          <w:szCs w:val="24"/>
        </w:rPr>
      </w:pPr>
    </w:p>
    <w:p>
      <w:pPr>
        <w:outlineLvl w:val="0"/>
        <w:rPr>
          <w:rFonts w:hint="eastAsia" w:eastAsia="宋体"/>
          <w:b/>
          <w:sz w:val="24"/>
          <w:szCs w:val="24"/>
          <w:lang w:eastAsia="zh-CN"/>
        </w:rPr>
      </w:pPr>
      <w:r>
        <w:rPr>
          <w:rFonts w:hint="eastAsia"/>
          <w:b/>
          <w:sz w:val="24"/>
          <w:szCs w:val="24"/>
          <w:lang w:eastAsia="zh-CN"/>
        </w:rPr>
        <w:t>附件七：</w:t>
      </w:r>
      <w:r>
        <w:rPr>
          <w:rFonts w:hint="eastAsia"/>
          <w:b/>
          <w:sz w:val="24"/>
          <w:szCs w:val="24"/>
        </w:rPr>
        <w:t>监测报告</w:t>
      </w:r>
      <w:r>
        <w:rPr>
          <w:rFonts w:hint="eastAsia"/>
          <w:b/>
          <w:sz w:val="24"/>
          <w:szCs w:val="24"/>
          <w:lang w:eastAsia="zh-CN"/>
        </w:rPr>
        <w:t>（</w:t>
      </w:r>
      <w:r>
        <w:rPr>
          <w:rFonts w:hint="eastAsia"/>
          <w:b/>
          <w:sz w:val="24"/>
          <w:szCs w:val="24"/>
          <w:lang w:val="en-US" w:eastAsia="zh-CN"/>
        </w:rPr>
        <w:t>HJ222293</w:t>
      </w:r>
      <w:r>
        <w:rPr>
          <w:rFonts w:hint="eastAsia"/>
          <w:b/>
          <w:sz w:val="24"/>
          <w:szCs w:val="24"/>
          <w:lang w:eastAsia="zh-CN"/>
        </w:rPr>
        <w:t>）</w:t>
      </w:r>
    </w:p>
    <w:p>
      <w:pPr>
        <w:jc w:val="center"/>
        <w:rPr>
          <w:b/>
          <w:bCs/>
          <w:sz w:val="24"/>
          <w:szCs w:val="24"/>
        </w:rPr>
      </w:pPr>
      <w:r>
        <w:drawing>
          <wp:inline distT="0" distB="0" distL="114300" distR="114300">
            <wp:extent cx="5751830" cy="8135620"/>
            <wp:effectExtent l="0" t="0" r="1270" b="5080"/>
            <wp:docPr id="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
                    <pic:cNvPicPr>
                      <a:picLocks noChangeAspect="1"/>
                    </pic:cNvPicPr>
                  </pic:nvPicPr>
                  <pic:blipFill>
                    <a:blip r:embed="rId18"/>
                    <a:stretch>
                      <a:fillRect/>
                    </a:stretch>
                  </pic:blipFill>
                  <pic:spPr>
                    <a:xfrm>
                      <a:off x="0" y="0"/>
                      <a:ext cx="5751830" cy="8135620"/>
                    </a:xfrm>
                    <a:prstGeom prst="rect">
                      <a:avLst/>
                    </a:prstGeom>
                    <a:noFill/>
                    <a:ln>
                      <a:noFill/>
                    </a:ln>
                  </pic:spPr>
                </pic:pic>
              </a:graphicData>
            </a:graphic>
          </wp:inline>
        </w:drawing>
      </w:r>
      <w:r>
        <w:drawing>
          <wp:inline distT="0" distB="0" distL="114300" distR="114300">
            <wp:extent cx="5751830" cy="8135620"/>
            <wp:effectExtent l="0" t="0" r="1270" b="5080"/>
            <wp:docPr id="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
                    <pic:cNvPicPr>
                      <a:picLocks noChangeAspect="1"/>
                    </pic:cNvPicPr>
                  </pic:nvPicPr>
                  <pic:blipFill>
                    <a:blip r:embed="rId19"/>
                    <a:stretch>
                      <a:fillRect/>
                    </a:stretch>
                  </pic:blipFill>
                  <pic:spPr>
                    <a:xfrm>
                      <a:off x="0" y="0"/>
                      <a:ext cx="5751830" cy="8135620"/>
                    </a:xfrm>
                    <a:prstGeom prst="rect">
                      <a:avLst/>
                    </a:prstGeom>
                    <a:noFill/>
                    <a:ln>
                      <a:noFill/>
                    </a:ln>
                  </pic:spPr>
                </pic:pic>
              </a:graphicData>
            </a:graphic>
          </wp:inline>
        </w:drawing>
      </w:r>
      <w:r>
        <w:drawing>
          <wp:inline distT="0" distB="0" distL="114300" distR="114300">
            <wp:extent cx="5751830" cy="8135620"/>
            <wp:effectExtent l="0" t="0" r="1270" b="5080"/>
            <wp:docPr id="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
                    <pic:cNvPicPr>
                      <a:picLocks noChangeAspect="1"/>
                    </pic:cNvPicPr>
                  </pic:nvPicPr>
                  <pic:blipFill>
                    <a:blip r:embed="rId20"/>
                    <a:stretch>
                      <a:fillRect/>
                    </a:stretch>
                  </pic:blipFill>
                  <pic:spPr>
                    <a:xfrm>
                      <a:off x="0" y="0"/>
                      <a:ext cx="5751830" cy="8135620"/>
                    </a:xfrm>
                    <a:prstGeom prst="rect">
                      <a:avLst/>
                    </a:prstGeom>
                    <a:noFill/>
                    <a:ln>
                      <a:noFill/>
                    </a:ln>
                  </pic:spPr>
                </pic:pic>
              </a:graphicData>
            </a:graphic>
          </wp:inline>
        </w:drawing>
      </w:r>
      <w:r>
        <w:drawing>
          <wp:inline distT="0" distB="0" distL="114300" distR="114300">
            <wp:extent cx="5751830" cy="8135620"/>
            <wp:effectExtent l="0" t="0" r="1270" b="5080"/>
            <wp:docPr id="6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
                    <pic:cNvPicPr>
                      <a:picLocks noChangeAspect="1"/>
                    </pic:cNvPicPr>
                  </pic:nvPicPr>
                  <pic:blipFill>
                    <a:blip r:embed="rId21"/>
                    <a:stretch>
                      <a:fillRect/>
                    </a:stretch>
                  </pic:blipFill>
                  <pic:spPr>
                    <a:xfrm>
                      <a:off x="0" y="0"/>
                      <a:ext cx="5751830" cy="8135620"/>
                    </a:xfrm>
                    <a:prstGeom prst="rect">
                      <a:avLst/>
                    </a:prstGeom>
                    <a:noFill/>
                    <a:ln>
                      <a:noFill/>
                    </a:ln>
                  </pic:spPr>
                </pic:pic>
              </a:graphicData>
            </a:graphic>
          </wp:inline>
        </w:drawing>
      </w:r>
      <w:r>
        <w:drawing>
          <wp:inline distT="0" distB="0" distL="114300" distR="114300">
            <wp:extent cx="5751830" cy="8135620"/>
            <wp:effectExtent l="0" t="0" r="1270" b="5080"/>
            <wp:docPr id="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7"/>
                    <pic:cNvPicPr>
                      <a:picLocks noChangeAspect="1"/>
                    </pic:cNvPicPr>
                  </pic:nvPicPr>
                  <pic:blipFill>
                    <a:blip r:embed="rId22"/>
                    <a:stretch>
                      <a:fillRect/>
                    </a:stretch>
                  </pic:blipFill>
                  <pic:spPr>
                    <a:xfrm>
                      <a:off x="0" y="0"/>
                      <a:ext cx="5751830" cy="8135620"/>
                    </a:xfrm>
                    <a:prstGeom prst="rect">
                      <a:avLst/>
                    </a:prstGeom>
                    <a:noFill/>
                    <a:ln>
                      <a:noFill/>
                    </a:ln>
                  </pic:spPr>
                </pic:pic>
              </a:graphicData>
            </a:graphic>
          </wp:inline>
        </w:drawing>
      </w:r>
      <w:r>
        <w:drawing>
          <wp:inline distT="0" distB="0" distL="114300" distR="114300">
            <wp:extent cx="5751830" cy="8135620"/>
            <wp:effectExtent l="0" t="0" r="1270" b="5080"/>
            <wp:docPr id="6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8"/>
                    <pic:cNvPicPr>
                      <a:picLocks noChangeAspect="1"/>
                    </pic:cNvPicPr>
                  </pic:nvPicPr>
                  <pic:blipFill>
                    <a:blip r:embed="rId23"/>
                    <a:stretch>
                      <a:fillRect/>
                    </a:stretch>
                  </pic:blipFill>
                  <pic:spPr>
                    <a:xfrm>
                      <a:off x="0" y="0"/>
                      <a:ext cx="5751830" cy="8135620"/>
                    </a:xfrm>
                    <a:prstGeom prst="rect">
                      <a:avLst/>
                    </a:prstGeom>
                    <a:noFill/>
                    <a:ln>
                      <a:noFill/>
                    </a:ln>
                  </pic:spPr>
                </pic:pic>
              </a:graphicData>
            </a:graphic>
          </wp:inline>
        </w:drawing>
      </w:r>
    </w:p>
    <w:p>
      <w:pPr>
        <w:pStyle w:val="2"/>
        <w:sectPr>
          <w:pgSz w:w="11906" w:h="16838"/>
          <w:pgMar w:top="1134" w:right="1417" w:bottom="1134" w:left="1417" w:header="851" w:footer="992" w:gutter="0"/>
          <w:pgBorders>
            <w:top w:val="none" w:sz="0" w:space="0"/>
            <w:left w:val="none" w:sz="0" w:space="0"/>
            <w:bottom w:val="none" w:sz="0" w:space="0"/>
            <w:right w:val="none" w:sz="0" w:space="0"/>
          </w:pgBorders>
          <w:cols w:space="720" w:num="1"/>
          <w:docGrid w:type="lines" w:linePitch="312" w:charSpace="0"/>
        </w:sectPr>
      </w:pPr>
    </w:p>
    <w:p>
      <w:pPr>
        <w:jc w:val="center"/>
        <w:outlineLvl w:val="0"/>
        <w:rPr>
          <w:b/>
          <w:sz w:val="28"/>
          <w:szCs w:val="28"/>
        </w:rPr>
      </w:pPr>
      <w:bookmarkStart w:id="20" w:name="_Toc863"/>
      <w:bookmarkStart w:id="21" w:name="_Toc25883"/>
      <w:bookmarkStart w:id="22" w:name="_Toc14039"/>
      <w:r>
        <w:rPr>
          <w:b/>
          <w:sz w:val="28"/>
          <w:szCs w:val="28"/>
        </w:rPr>
        <w:t>建设项目工程竣工环境保护“三同时”验收登记表</w:t>
      </w:r>
      <w:bookmarkEnd w:id="20"/>
      <w:bookmarkEnd w:id="21"/>
      <w:bookmarkEnd w:id="22"/>
    </w:p>
    <w:p>
      <w:pPr>
        <w:spacing w:line="240" w:lineRule="exact"/>
        <w:ind w:firstLine="180" w:firstLineChars="100"/>
        <w:rPr>
          <w:sz w:val="18"/>
          <w:szCs w:val="18"/>
        </w:rPr>
      </w:pPr>
      <w:r>
        <w:rPr>
          <w:sz w:val="18"/>
          <w:szCs w:val="18"/>
        </w:rPr>
        <w:t>填表单位（盖章）：</w:t>
      </w:r>
      <w:r>
        <w:rPr>
          <w:rFonts w:hint="eastAsia"/>
          <w:sz w:val="18"/>
          <w:szCs w:val="18"/>
          <w:lang w:eastAsia="zh-CN"/>
        </w:rPr>
        <w:t>宁波市海曙诺盛矿业有限公司</w:t>
      </w:r>
      <w:r>
        <w:rPr>
          <w:sz w:val="18"/>
          <w:szCs w:val="18"/>
        </w:rPr>
        <w:t xml:space="preserve">                         填表人（签字）：                                项目经办人（签字）：</w:t>
      </w:r>
    </w:p>
    <w:tbl>
      <w:tblPr>
        <w:tblStyle w:val="20"/>
        <w:tblW w:w="1587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68"/>
        <w:gridCol w:w="1230"/>
        <w:gridCol w:w="566"/>
        <w:gridCol w:w="828"/>
        <w:gridCol w:w="1379"/>
        <w:gridCol w:w="1097"/>
        <w:gridCol w:w="987"/>
        <w:gridCol w:w="6"/>
        <w:gridCol w:w="511"/>
        <w:gridCol w:w="588"/>
        <w:gridCol w:w="1137"/>
        <w:gridCol w:w="1058"/>
        <w:gridCol w:w="1724"/>
        <w:gridCol w:w="1027"/>
        <w:gridCol w:w="690"/>
        <w:gridCol w:w="554"/>
        <w:gridCol w:w="637"/>
        <w:gridCol w:w="465"/>
        <w:gridCol w:w="7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restart"/>
            <w:tcBorders>
              <w:tl2br w:val="nil"/>
              <w:tr2bl w:val="nil"/>
            </w:tcBorders>
            <w:tcMar>
              <w:left w:w="57" w:type="dxa"/>
              <w:right w:w="57" w:type="dxa"/>
            </w:tcMar>
            <w:textDirection w:val="tbRlV"/>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建设项目</w:t>
            </w: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项目名称</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eastAsia="zh-CN"/>
              </w:rPr>
              <w:t>宁波市海曙诺盛矿业有限公司年加工20000立方石材生产线项目</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项目代码</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建设地点</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eastAsia="zh-CN"/>
              </w:rPr>
              <w:t>海曙区鄞江镇光溪村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行业类别（分类管理名录）</w:t>
            </w:r>
          </w:p>
        </w:tc>
        <w:tc>
          <w:tcPr>
            <w:tcW w:w="5396" w:type="dxa"/>
            <w:gridSpan w:val="7"/>
            <w:tcBorders>
              <w:tl2br w:val="nil"/>
              <w:tr2bl w:val="nil"/>
            </w:tcBorders>
            <w:tcMar>
              <w:left w:w="57" w:type="dxa"/>
              <w:right w:w="57"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15"/>
                <w:szCs w:val="15"/>
                <w:lang w:eastAsia="zh-CN"/>
              </w:rPr>
            </w:pPr>
            <w:r>
              <w:rPr>
                <w:rFonts w:hint="eastAsia" w:ascii="Times New Roman" w:hAnsi="Times New Roman" w:eastAsia="宋体" w:cs="Times New Roman"/>
                <w:sz w:val="15"/>
                <w:szCs w:val="15"/>
                <w:lang w:val="en-US" w:eastAsia="zh-CN"/>
              </w:rPr>
              <w:t>石墨及其他非金属矿物制品制造 309</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建设性质</w:t>
            </w:r>
          </w:p>
        </w:tc>
        <w:tc>
          <w:tcPr>
            <w:tcW w:w="3441"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√新建  □改扩建  □技术改造</w:t>
            </w:r>
          </w:p>
        </w:tc>
        <w:tc>
          <w:tcPr>
            <w:tcW w:w="1191"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项目厂区中心经度/纬度</w:t>
            </w:r>
          </w:p>
        </w:tc>
        <w:tc>
          <w:tcPr>
            <w:tcW w:w="1259"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设计生产能力</w:t>
            </w:r>
          </w:p>
        </w:tc>
        <w:tc>
          <w:tcPr>
            <w:tcW w:w="5396" w:type="dxa"/>
            <w:gridSpan w:val="7"/>
            <w:tcBorders>
              <w:tl2br w:val="nil"/>
              <w:tr2bl w:val="nil"/>
            </w:tcBorders>
            <w:tcMar>
              <w:left w:w="57" w:type="dxa"/>
              <w:right w:w="57" w:type="dxa"/>
            </w:tcMar>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z w:val="15"/>
                <w:szCs w:val="15"/>
                <w:lang w:eastAsia="zh-CN"/>
              </w:rPr>
            </w:pPr>
            <w:r>
              <w:rPr>
                <w:rFonts w:hint="eastAsia" w:cs="Times New Roman"/>
                <w:sz w:val="15"/>
                <w:szCs w:val="15"/>
                <w:lang w:eastAsia="zh-CN"/>
              </w:rPr>
              <w:t>年加工20000立方石材生产线项目</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实际生产能力</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eastAsia="zh-CN"/>
              </w:rPr>
              <w:t>年加工20000立方石材生产线项目</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环评单位</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eastAsia="zh-CN"/>
              </w:rPr>
              <w:t>浙江环耀环境建设有限公司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环评文件审批机关</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eastAsia="zh-CN"/>
              </w:rPr>
              <w:t>宁波市生态环境局鄞州分局</w:t>
            </w:r>
            <w:r>
              <w:rPr>
                <w:rFonts w:hint="eastAsia" w:ascii="Times New Roman" w:hAnsi="Times New Roman" w:eastAsia="宋体" w:cs="Times New Roman"/>
                <w:sz w:val="15"/>
                <w:szCs w:val="15"/>
                <w:lang w:eastAsia="zh-CN"/>
              </w:rPr>
              <w:t>（</w:t>
            </w:r>
            <w:r>
              <w:rPr>
                <w:rFonts w:hint="eastAsia" w:cs="Times New Roman"/>
                <w:sz w:val="15"/>
                <w:szCs w:val="15"/>
                <w:lang w:val="en-US" w:eastAsia="zh-CN"/>
              </w:rPr>
              <w:t>原宁波市鄞州区环境保护局</w:t>
            </w:r>
            <w:r>
              <w:rPr>
                <w:rFonts w:hint="eastAsia" w:ascii="Times New Roman" w:hAnsi="Times New Roman" w:eastAsia="宋体" w:cs="Times New Roman"/>
                <w:sz w:val="15"/>
                <w:szCs w:val="15"/>
                <w:lang w:eastAsia="zh-CN"/>
              </w:rPr>
              <w:t>）</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审批文号</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eastAsia="zh-CN"/>
              </w:rPr>
              <w:t>鄞环建〔2016〕0330号</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环评文件类型</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报告表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开工日期</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20</w:t>
            </w:r>
            <w:r>
              <w:rPr>
                <w:rFonts w:hint="eastAsia"/>
                <w:sz w:val="15"/>
                <w:szCs w:val="15"/>
                <w:lang w:val="en-US" w:eastAsia="zh-CN"/>
              </w:rPr>
              <w:t>16</w:t>
            </w:r>
            <w:r>
              <w:rPr>
                <w:sz w:val="15"/>
                <w:szCs w:val="15"/>
              </w:rPr>
              <w:t>年</w:t>
            </w:r>
            <w:r>
              <w:rPr>
                <w:rFonts w:hint="eastAsia"/>
                <w:sz w:val="15"/>
                <w:szCs w:val="15"/>
                <w:lang w:val="en-US" w:eastAsia="zh-CN"/>
              </w:rPr>
              <w:t>7</w:t>
            </w:r>
            <w:r>
              <w:rPr>
                <w:sz w:val="15"/>
                <w:szCs w:val="15"/>
              </w:rPr>
              <w:t>月</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竣工日期</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20</w:t>
            </w:r>
            <w:r>
              <w:rPr>
                <w:rFonts w:hint="eastAsia"/>
                <w:sz w:val="15"/>
                <w:szCs w:val="15"/>
                <w:lang w:val="en-US" w:eastAsia="zh-CN"/>
              </w:rPr>
              <w:t>17</w:t>
            </w:r>
            <w:r>
              <w:rPr>
                <w:sz w:val="15"/>
                <w:szCs w:val="15"/>
              </w:rPr>
              <w:t>年10月</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排污许可证申领时间</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环保设施设计单位</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环保设施施工单位</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本工程排污许可证编号</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验收单位</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eastAsia="zh-CN"/>
              </w:rPr>
              <w:t>宁波市海曙诺盛矿业有限公司</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环保设施监测单位</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浙江中一检测研究院股份有限公司</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验收监测时工况</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r>
              <w:rPr>
                <w:sz w:val="15"/>
                <w:szCs w:val="15"/>
              </w:rPr>
              <w:t>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投资总概算（万元）</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sz w:val="15"/>
                <w:szCs w:val="15"/>
                <w:lang w:val="en-US" w:eastAsia="zh-CN"/>
              </w:rPr>
            </w:pPr>
            <w:r>
              <w:rPr>
                <w:rFonts w:hint="eastAsia"/>
                <w:sz w:val="15"/>
                <w:szCs w:val="15"/>
                <w:lang w:val="en-US" w:eastAsia="zh-CN"/>
              </w:rPr>
              <w:t>3260</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环保投资总概算（万元）</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72</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所占比例（%）</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实际总投资</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sz w:val="15"/>
                <w:szCs w:val="15"/>
                <w:lang w:val="en-US" w:eastAsia="zh-CN"/>
              </w:rPr>
            </w:pPr>
            <w:r>
              <w:rPr>
                <w:rFonts w:hint="eastAsia"/>
                <w:sz w:val="15"/>
                <w:szCs w:val="15"/>
                <w:lang w:val="en-US" w:eastAsia="zh-CN"/>
              </w:rPr>
              <w:t>3260</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实际环保投资（万元）</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75</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所占比例（%）</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废水治理（万元）</w:t>
            </w:r>
          </w:p>
        </w:tc>
        <w:tc>
          <w:tcPr>
            <w:tcW w:w="82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70</w:t>
            </w:r>
          </w:p>
        </w:tc>
        <w:tc>
          <w:tcPr>
            <w:tcW w:w="1379"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废气治理（万元）</w:t>
            </w:r>
          </w:p>
        </w:tc>
        <w:tc>
          <w:tcPr>
            <w:tcW w:w="109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2</w:t>
            </w:r>
          </w:p>
        </w:tc>
        <w:tc>
          <w:tcPr>
            <w:tcW w:w="150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噪声治理（万元）</w:t>
            </w:r>
          </w:p>
        </w:tc>
        <w:tc>
          <w:tcPr>
            <w:tcW w:w="58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val="en-US" w:eastAsia="zh-CN"/>
              </w:rPr>
              <w:t>2</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固体废物治理（万元）</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sz w:val="15"/>
                <w:szCs w:val="15"/>
                <w:lang w:eastAsia="zh-CN"/>
              </w:rPr>
            </w:pPr>
            <w:r>
              <w:rPr>
                <w:rFonts w:hint="eastAsia"/>
                <w:sz w:val="15"/>
                <w:szCs w:val="15"/>
                <w:lang w:val="en-US" w:eastAsia="zh-CN"/>
              </w:rPr>
              <w:t>1</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绿化及生态（万元）</w:t>
            </w:r>
          </w:p>
        </w:tc>
        <w:tc>
          <w:tcPr>
            <w:tcW w:w="55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c>
          <w:tcPr>
            <w:tcW w:w="1102"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其他（万元）</w:t>
            </w:r>
          </w:p>
        </w:tc>
        <w:tc>
          <w:tcPr>
            <w:tcW w:w="79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30" w:type="dxa"/>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964" w:type="dxa"/>
            <w:gridSpan w:val="3"/>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新增废水处理设施能力</w:t>
            </w:r>
          </w:p>
        </w:tc>
        <w:tc>
          <w:tcPr>
            <w:tcW w:w="5396" w:type="dxa"/>
            <w:gridSpan w:val="7"/>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c>
          <w:tcPr>
            <w:tcW w:w="2195"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新增废气处理设施能力</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年平均工作时</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200</w:t>
            </w:r>
            <w:r>
              <w:rPr>
                <w:sz w:val="15"/>
                <w:szCs w:val="15"/>
              </w:rPr>
              <w:t>0h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2394"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运营单位</w:t>
            </w:r>
          </w:p>
        </w:tc>
        <w:tc>
          <w:tcPr>
            <w:tcW w:w="4291"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eastAsia" w:eastAsia="宋体"/>
                <w:b/>
                <w:bCs/>
                <w:sz w:val="15"/>
                <w:szCs w:val="15"/>
                <w:lang w:eastAsia="zh-CN"/>
              </w:rPr>
            </w:pPr>
            <w:r>
              <w:rPr>
                <w:rFonts w:hint="eastAsia"/>
                <w:sz w:val="15"/>
                <w:szCs w:val="15"/>
                <w:lang w:eastAsia="zh-CN"/>
              </w:rPr>
              <w:t>宁波市海曙诺盛矿业有限公司</w:t>
            </w:r>
          </w:p>
        </w:tc>
        <w:tc>
          <w:tcPr>
            <w:tcW w:w="3300" w:type="dxa"/>
            <w:gridSpan w:val="5"/>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运营单位社会统一信用代码（或组织机构代码）</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w:t>
            </w:r>
          </w:p>
        </w:tc>
        <w:tc>
          <w:tcPr>
            <w:tcW w:w="1717"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验收时间</w:t>
            </w:r>
          </w:p>
        </w:tc>
        <w:tc>
          <w:tcPr>
            <w:tcW w:w="2450" w:type="dxa"/>
            <w:gridSpan w:val="4"/>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sz w:val="15"/>
                <w:szCs w:val="15"/>
              </w:rPr>
              <w:t>202</w:t>
            </w:r>
            <w:r>
              <w:rPr>
                <w:rFonts w:hint="eastAsia"/>
                <w:sz w:val="15"/>
                <w:szCs w:val="15"/>
                <w:lang w:val="en-US" w:eastAsia="zh-CN"/>
              </w:rPr>
              <w:t>2</w:t>
            </w:r>
            <w:r>
              <w:rPr>
                <w:sz w:val="15"/>
                <w:szCs w:val="15"/>
              </w:rPr>
              <w:t>年</w:t>
            </w:r>
            <w:r>
              <w:rPr>
                <w:rFonts w:hint="eastAsia"/>
                <w:sz w:val="15"/>
                <w:szCs w:val="15"/>
                <w:lang w:val="en-US" w:eastAsia="zh-CN"/>
              </w:rPr>
              <w:t>7</w:t>
            </w:r>
            <w:r>
              <w:rPr>
                <w:sz w:val="15"/>
                <w:szCs w:val="15"/>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restart"/>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污染</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物排</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放达</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标与</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总量</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控制（工</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业建</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设项</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目详填）</w:t>
            </w: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污染物</w:t>
            </w:r>
          </w:p>
        </w:tc>
        <w:tc>
          <w:tcPr>
            <w:tcW w:w="82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原有排</w:t>
            </w:r>
          </w:p>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放量(1)</w:t>
            </w:r>
          </w:p>
        </w:tc>
        <w:tc>
          <w:tcPr>
            <w:tcW w:w="1379"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本期工程实际排放浓度(2)</w:t>
            </w:r>
          </w:p>
        </w:tc>
        <w:tc>
          <w:tcPr>
            <w:tcW w:w="109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本期工程允许排放浓度(3)</w:t>
            </w:r>
          </w:p>
        </w:tc>
        <w:tc>
          <w:tcPr>
            <w:tcW w:w="993"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本期工程产生量(4)</w:t>
            </w:r>
          </w:p>
        </w:tc>
        <w:tc>
          <w:tcPr>
            <w:tcW w:w="1099"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本期工程自身削减量(5)</w:t>
            </w:r>
          </w:p>
        </w:tc>
        <w:tc>
          <w:tcPr>
            <w:tcW w:w="113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本期工程实际排放量(6)</w:t>
            </w:r>
          </w:p>
        </w:tc>
        <w:tc>
          <w:tcPr>
            <w:tcW w:w="105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本期工程核定排放总量(7)</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本期工程“以新带老”削减量(8)</w:t>
            </w:r>
          </w:p>
        </w:tc>
        <w:tc>
          <w:tcPr>
            <w:tcW w:w="102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全厂实际排放总量(9)</w:t>
            </w:r>
          </w:p>
        </w:tc>
        <w:tc>
          <w:tcPr>
            <w:tcW w:w="1244"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全厂核定排放总量(10)</w:t>
            </w:r>
          </w:p>
        </w:tc>
        <w:tc>
          <w:tcPr>
            <w:tcW w:w="1102"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区域平衡替代削减量(11)</w:t>
            </w:r>
          </w:p>
        </w:tc>
        <w:tc>
          <w:tcPr>
            <w:tcW w:w="79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排放增减量(12)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sz w:val="15"/>
                <w:szCs w:val="15"/>
              </w:rPr>
              <w:t>+</w:t>
            </w: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废水</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eastAsia" w:eastAsia="宋体"/>
                <w:sz w:val="15"/>
                <w:szCs w:val="15"/>
                <w:lang w:val="en-US" w:eastAsia="zh-CN"/>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eastAsia="zh-CN"/>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sz w:val="15"/>
                <w:szCs w:val="15"/>
              </w:rPr>
              <w:t>+</w:t>
            </w: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化学需氧量</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eastAsia="zh-CN"/>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氨氮</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eastAsia="宋体"/>
                <w:sz w:val="15"/>
                <w:szCs w:val="15"/>
                <w:lang w:val="en-US" w:eastAsia="zh-CN"/>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eastAsia="zh-CN"/>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石油类</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废气</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二氧化硫</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氮氧化物</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烟尘</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工业粉尘</w:t>
            </w:r>
          </w:p>
        </w:tc>
        <w:tc>
          <w:tcPr>
            <w:tcW w:w="82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w:t>
            </w:r>
          </w:p>
        </w:tc>
        <w:tc>
          <w:tcPr>
            <w:tcW w:w="1058"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top"/>
          </w:tcPr>
          <w:p>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kern w:val="2"/>
                <w:sz w:val="15"/>
                <w:szCs w:val="15"/>
                <w:lang w:val="en-US" w:eastAsia="zh-CN" w:bidi="ar-SA"/>
              </w:rPr>
            </w:pPr>
            <w:r>
              <w:rPr>
                <w:rFonts w:hint="eastAsia"/>
                <w:sz w:val="15"/>
                <w:szCs w:val="15"/>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796"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工业固体废物</w:t>
            </w:r>
          </w:p>
        </w:tc>
        <w:tc>
          <w:tcPr>
            <w:tcW w:w="82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1.12</w:t>
            </w:r>
          </w:p>
        </w:tc>
        <w:tc>
          <w:tcPr>
            <w:tcW w:w="1099"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hint="default"/>
                <w:sz w:val="15"/>
                <w:szCs w:val="15"/>
                <w:lang w:val="en-US"/>
              </w:rPr>
            </w:pPr>
            <w:r>
              <w:rPr>
                <w:rFonts w:hint="eastAsia"/>
                <w:sz w:val="15"/>
                <w:szCs w:val="15"/>
                <w:lang w:val="en-US" w:eastAsia="zh-CN"/>
              </w:rPr>
              <w:t>1.12</w:t>
            </w:r>
          </w:p>
        </w:tc>
        <w:tc>
          <w:tcPr>
            <w:tcW w:w="113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0</w:t>
            </w:r>
          </w:p>
        </w:tc>
        <w:tc>
          <w:tcPr>
            <w:tcW w:w="105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rFonts w:ascii="Times New Roman" w:hAnsi="Times New Roman" w:eastAsia="宋体" w:cs="Times New Roman"/>
                <w:kern w:val="2"/>
                <w:sz w:val="15"/>
                <w:szCs w:val="15"/>
                <w:lang w:val="en-US" w:eastAsia="zh-CN" w:bidi="ar-SA"/>
              </w:rPr>
            </w:pPr>
            <w:r>
              <w:rPr>
                <w:rFonts w:hint="eastAsia"/>
                <w:sz w:val="15"/>
                <w:szCs w:val="15"/>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598" w:type="dxa"/>
            <w:gridSpan w:val="2"/>
            <w:vMerge w:val="continue"/>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p>
        </w:tc>
        <w:tc>
          <w:tcPr>
            <w:tcW w:w="1230"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b/>
                <w:bCs/>
                <w:sz w:val="15"/>
                <w:szCs w:val="15"/>
              </w:rPr>
              <w:t>与项目有关的其他特征污染物</w:t>
            </w:r>
          </w:p>
        </w:tc>
        <w:tc>
          <w:tcPr>
            <w:tcW w:w="566"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b/>
                <w:bCs/>
                <w:sz w:val="15"/>
                <w:szCs w:val="15"/>
              </w:rPr>
            </w:pPr>
            <w:r>
              <w:rPr>
                <w:rFonts w:hint="eastAsia"/>
                <w:sz w:val="15"/>
                <w:szCs w:val="15"/>
                <w:lang w:val="en-US" w:eastAsia="zh-CN"/>
              </w:rPr>
              <w:t>-</w:t>
            </w:r>
          </w:p>
        </w:tc>
        <w:tc>
          <w:tcPr>
            <w:tcW w:w="82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379"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993"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99"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3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58"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72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027"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244"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1102" w:type="dxa"/>
            <w:gridSpan w:val="2"/>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r>
              <w:rPr>
                <w:rFonts w:hint="eastAsia"/>
                <w:sz w:val="15"/>
                <w:szCs w:val="15"/>
                <w:lang w:val="en-US" w:eastAsia="zh-CN"/>
              </w:rPr>
              <w:t>-</w:t>
            </w:r>
          </w:p>
        </w:tc>
        <w:tc>
          <w:tcPr>
            <w:tcW w:w="794" w:type="dxa"/>
            <w:tcBorders>
              <w:tl2br w:val="nil"/>
              <w:tr2bl w:val="nil"/>
            </w:tcBorders>
            <w:tcMar>
              <w:left w:w="57" w:type="dxa"/>
              <w:right w:w="57" w:type="dxa"/>
            </w:tcMar>
            <w:vAlign w:val="center"/>
          </w:tcPr>
          <w:p>
            <w:pPr>
              <w:keepNext w:val="0"/>
              <w:keepLines w:val="0"/>
              <w:suppressLineNumbers w:val="0"/>
              <w:spacing w:before="0" w:beforeAutospacing="0" w:after="0" w:afterAutospacing="0" w:line="240" w:lineRule="exact"/>
              <w:ind w:left="0" w:right="0"/>
              <w:jc w:val="center"/>
              <w:rPr>
                <w:sz w:val="15"/>
                <w:szCs w:val="15"/>
              </w:rPr>
            </w:pPr>
          </w:p>
        </w:tc>
      </w:tr>
    </w:tbl>
    <w:p>
      <w:pPr>
        <w:rPr>
          <w:rFonts w:hint="eastAsia" w:eastAsia="宋体"/>
          <w:lang w:eastAsia="zh-CN"/>
        </w:rPr>
      </w:pPr>
      <w:r>
        <w:rPr>
          <w:sz w:val="15"/>
          <w:szCs w:val="15"/>
        </w:rPr>
        <w:t>注：1、排放增减量：（+）表示增加，（-）表示减少。2、(12)=(6)-(8)-(11)，（9）= (4)-(5)-(8)- (11) +（1）。3、计量单位：废水排放量——吨/年；废气排放量——标立方米/年；工业固体废物排放量——万吨/年；水污染物排放浓度——毫克/升。</w:t>
      </w:r>
    </w:p>
    <w:sectPr>
      <w:headerReference r:id="rId6" w:type="default"/>
      <w:footerReference r:id="rId7" w:type="default"/>
      <w:pgSz w:w="16838" w:h="11906" w:orient="landscape"/>
      <w:pgMar w:top="1134" w:right="1440" w:bottom="1134" w:left="1440" w:header="680"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rFonts w:hint="eastAsia"/>
        <w:lang w:eastAsia="zh-CN"/>
      </w:rPr>
      <w:t>宁波市海曙诺盛矿业有限公司年加工20000立方石材生产线项目</w:t>
    </w:r>
    <w:r>
      <w:rPr>
        <w:rFonts w:hint="eastAsia"/>
      </w:rPr>
      <w:t>竣工环境保护验收监测报告表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rFonts w:hint="eastAsia"/>
        <w:lang w:eastAsia="zh-CN"/>
      </w:rPr>
      <w:t>宁波市海曙诺盛矿业有限公司年加工20000立方石材生产线项目</w:t>
    </w:r>
    <w:r>
      <w:rPr>
        <w:rFonts w:hint="eastAsia"/>
      </w:rPr>
      <w:t>竣工环境保护验收监测报告表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12B5D2"/>
    <w:multiLevelType w:val="singleLevel"/>
    <w:tmpl w:val="ED12B5D2"/>
    <w:lvl w:ilvl="0" w:tentative="0">
      <w:start w:val="1"/>
      <w:numFmt w:val="decimal"/>
      <w:suff w:val="nothing"/>
      <w:lvlText w:val="%1、"/>
      <w:lvlJc w:val="left"/>
    </w:lvl>
  </w:abstractNum>
  <w:abstractNum w:abstractNumId="1">
    <w:nsid w:val="F242433D"/>
    <w:multiLevelType w:val="singleLevel"/>
    <w:tmpl w:val="F242433D"/>
    <w:lvl w:ilvl="0" w:tentative="0">
      <w:start w:val="1"/>
      <w:numFmt w:val="decimal"/>
      <w:suff w:val="nothing"/>
      <w:lvlText w:val="%1、"/>
      <w:lvlJc w:val="left"/>
    </w:lvl>
  </w:abstractNum>
  <w:abstractNum w:abstractNumId="2">
    <w:nsid w:val="592FBA91"/>
    <w:multiLevelType w:val="singleLevel"/>
    <w:tmpl w:val="592FBA91"/>
    <w:lvl w:ilvl="0" w:tentative="0">
      <w:start w:val="3"/>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U1NzgzZGVjYWY0ZDQxYWZjYjE3ZDc3YTk2NDIzYzIifQ=="/>
  </w:docVars>
  <w:rsids>
    <w:rsidRoot w:val="00DB1B7C"/>
    <w:rsid w:val="00002740"/>
    <w:rsid w:val="00005036"/>
    <w:rsid w:val="00007496"/>
    <w:rsid w:val="00007611"/>
    <w:rsid w:val="00007BA5"/>
    <w:rsid w:val="00007DE1"/>
    <w:rsid w:val="000111D7"/>
    <w:rsid w:val="000122DA"/>
    <w:rsid w:val="00015DBD"/>
    <w:rsid w:val="00016702"/>
    <w:rsid w:val="0001758C"/>
    <w:rsid w:val="00021D8B"/>
    <w:rsid w:val="00021F69"/>
    <w:rsid w:val="00027B1A"/>
    <w:rsid w:val="000323A1"/>
    <w:rsid w:val="00040152"/>
    <w:rsid w:val="00041673"/>
    <w:rsid w:val="00042B2C"/>
    <w:rsid w:val="000455A1"/>
    <w:rsid w:val="00047157"/>
    <w:rsid w:val="00051CA4"/>
    <w:rsid w:val="00074817"/>
    <w:rsid w:val="000760DF"/>
    <w:rsid w:val="00084613"/>
    <w:rsid w:val="00086355"/>
    <w:rsid w:val="0009004D"/>
    <w:rsid w:val="00091C5B"/>
    <w:rsid w:val="000A1276"/>
    <w:rsid w:val="000A438D"/>
    <w:rsid w:val="000A67D9"/>
    <w:rsid w:val="000A6A2A"/>
    <w:rsid w:val="000B4313"/>
    <w:rsid w:val="000B5649"/>
    <w:rsid w:val="000B7660"/>
    <w:rsid w:val="000C263E"/>
    <w:rsid w:val="000C2E0D"/>
    <w:rsid w:val="000C360E"/>
    <w:rsid w:val="000C3D9F"/>
    <w:rsid w:val="000C42D6"/>
    <w:rsid w:val="000C54D7"/>
    <w:rsid w:val="000D088D"/>
    <w:rsid w:val="000D0E8B"/>
    <w:rsid w:val="000D17A1"/>
    <w:rsid w:val="000D284C"/>
    <w:rsid w:val="000D4C2D"/>
    <w:rsid w:val="000D57E2"/>
    <w:rsid w:val="000E3719"/>
    <w:rsid w:val="000F426A"/>
    <w:rsid w:val="000F49BE"/>
    <w:rsid w:val="000F6B42"/>
    <w:rsid w:val="00100EB9"/>
    <w:rsid w:val="00101358"/>
    <w:rsid w:val="00115E25"/>
    <w:rsid w:val="001222AA"/>
    <w:rsid w:val="00130E74"/>
    <w:rsid w:val="00140690"/>
    <w:rsid w:val="00147E10"/>
    <w:rsid w:val="00151330"/>
    <w:rsid w:val="00152640"/>
    <w:rsid w:val="00153A42"/>
    <w:rsid w:val="00154321"/>
    <w:rsid w:val="00162F86"/>
    <w:rsid w:val="00163076"/>
    <w:rsid w:val="00163F17"/>
    <w:rsid w:val="00166B51"/>
    <w:rsid w:val="00174166"/>
    <w:rsid w:val="00180B5F"/>
    <w:rsid w:val="00182B57"/>
    <w:rsid w:val="001857A2"/>
    <w:rsid w:val="00192176"/>
    <w:rsid w:val="00197231"/>
    <w:rsid w:val="001A2C24"/>
    <w:rsid w:val="001A549A"/>
    <w:rsid w:val="001C1270"/>
    <w:rsid w:val="001C12A8"/>
    <w:rsid w:val="001C4179"/>
    <w:rsid w:val="001D69AB"/>
    <w:rsid w:val="001D6C3D"/>
    <w:rsid w:val="001D7B7D"/>
    <w:rsid w:val="001E016C"/>
    <w:rsid w:val="001E1DC4"/>
    <w:rsid w:val="001E3E8C"/>
    <w:rsid w:val="001E75D6"/>
    <w:rsid w:val="001F198D"/>
    <w:rsid w:val="001F3278"/>
    <w:rsid w:val="001F43EA"/>
    <w:rsid w:val="002058AD"/>
    <w:rsid w:val="00206F59"/>
    <w:rsid w:val="00207D46"/>
    <w:rsid w:val="002108E8"/>
    <w:rsid w:val="002146C9"/>
    <w:rsid w:val="002146D1"/>
    <w:rsid w:val="002156F8"/>
    <w:rsid w:val="002165BF"/>
    <w:rsid w:val="00216E86"/>
    <w:rsid w:val="0022084B"/>
    <w:rsid w:val="00221E17"/>
    <w:rsid w:val="002278C8"/>
    <w:rsid w:val="00231786"/>
    <w:rsid w:val="002360EB"/>
    <w:rsid w:val="00236A6E"/>
    <w:rsid w:val="00240FD6"/>
    <w:rsid w:val="00244A8D"/>
    <w:rsid w:val="002460B3"/>
    <w:rsid w:val="00251335"/>
    <w:rsid w:val="00263EB2"/>
    <w:rsid w:val="00264840"/>
    <w:rsid w:val="00266677"/>
    <w:rsid w:val="00272336"/>
    <w:rsid w:val="002732F1"/>
    <w:rsid w:val="0028140F"/>
    <w:rsid w:val="00285BB9"/>
    <w:rsid w:val="002915D6"/>
    <w:rsid w:val="0029232F"/>
    <w:rsid w:val="00296CAD"/>
    <w:rsid w:val="002A084D"/>
    <w:rsid w:val="002A21BA"/>
    <w:rsid w:val="002A4F8C"/>
    <w:rsid w:val="002A72D8"/>
    <w:rsid w:val="002B4802"/>
    <w:rsid w:val="002C51CF"/>
    <w:rsid w:val="002C65BF"/>
    <w:rsid w:val="002D15B7"/>
    <w:rsid w:val="002D1BA5"/>
    <w:rsid w:val="002D3A08"/>
    <w:rsid w:val="002D46A4"/>
    <w:rsid w:val="002D4C93"/>
    <w:rsid w:val="002D5CF1"/>
    <w:rsid w:val="002E1532"/>
    <w:rsid w:val="002E3455"/>
    <w:rsid w:val="002E41E3"/>
    <w:rsid w:val="002E4BF8"/>
    <w:rsid w:val="002F16E7"/>
    <w:rsid w:val="002F3256"/>
    <w:rsid w:val="002F4CFC"/>
    <w:rsid w:val="002F699E"/>
    <w:rsid w:val="002F7380"/>
    <w:rsid w:val="00306F1C"/>
    <w:rsid w:val="0031088C"/>
    <w:rsid w:val="00313334"/>
    <w:rsid w:val="00314470"/>
    <w:rsid w:val="003144B9"/>
    <w:rsid w:val="00315711"/>
    <w:rsid w:val="003211B3"/>
    <w:rsid w:val="00322E86"/>
    <w:rsid w:val="0032544B"/>
    <w:rsid w:val="00331E2F"/>
    <w:rsid w:val="003338E0"/>
    <w:rsid w:val="0033578F"/>
    <w:rsid w:val="0033706A"/>
    <w:rsid w:val="003427AF"/>
    <w:rsid w:val="003428EF"/>
    <w:rsid w:val="003520B5"/>
    <w:rsid w:val="00352116"/>
    <w:rsid w:val="00353451"/>
    <w:rsid w:val="00363BC8"/>
    <w:rsid w:val="00364A6B"/>
    <w:rsid w:val="00364CB6"/>
    <w:rsid w:val="003735F9"/>
    <w:rsid w:val="00373FF6"/>
    <w:rsid w:val="00374426"/>
    <w:rsid w:val="003824E0"/>
    <w:rsid w:val="00382DD1"/>
    <w:rsid w:val="00387587"/>
    <w:rsid w:val="0039448B"/>
    <w:rsid w:val="003A2688"/>
    <w:rsid w:val="003A7DA5"/>
    <w:rsid w:val="003B2F7E"/>
    <w:rsid w:val="003B4142"/>
    <w:rsid w:val="003B521B"/>
    <w:rsid w:val="003B79B7"/>
    <w:rsid w:val="003C4286"/>
    <w:rsid w:val="003C4910"/>
    <w:rsid w:val="003C567E"/>
    <w:rsid w:val="003C6D11"/>
    <w:rsid w:val="003C71AD"/>
    <w:rsid w:val="003D075F"/>
    <w:rsid w:val="003D5381"/>
    <w:rsid w:val="003E5DE9"/>
    <w:rsid w:val="003F3DB9"/>
    <w:rsid w:val="003F634B"/>
    <w:rsid w:val="003F6D92"/>
    <w:rsid w:val="00400E63"/>
    <w:rsid w:val="0040100C"/>
    <w:rsid w:val="00401787"/>
    <w:rsid w:val="00403550"/>
    <w:rsid w:val="00404AFA"/>
    <w:rsid w:val="00405A54"/>
    <w:rsid w:val="004070FC"/>
    <w:rsid w:val="00407134"/>
    <w:rsid w:val="0040748F"/>
    <w:rsid w:val="00410AE8"/>
    <w:rsid w:val="00412518"/>
    <w:rsid w:val="00412569"/>
    <w:rsid w:val="00414AB1"/>
    <w:rsid w:val="00415D0C"/>
    <w:rsid w:val="00417844"/>
    <w:rsid w:val="004237C4"/>
    <w:rsid w:val="00425B4C"/>
    <w:rsid w:val="00443C25"/>
    <w:rsid w:val="00444B0C"/>
    <w:rsid w:val="00444B2D"/>
    <w:rsid w:val="004473D7"/>
    <w:rsid w:val="00447734"/>
    <w:rsid w:val="0047046E"/>
    <w:rsid w:val="00471B60"/>
    <w:rsid w:val="00472ADA"/>
    <w:rsid w:val="0047473A"/>
    <w:rsid w:val="004759F2"/>
    <w:rsid w:val="00480BAC"/>
    <w:rsid w:val="004838E9"/>
    <w:rsid w:val="00484E2D"/>
    <w:rsid w:val="00490999"/>
    <w:rsid w:val="004924D4"/>
    <w:rsid w:val="00492B46"/>
    <w:rsid w:val="00492E13"/>
    <w:rsid w:val="00497C19"/>
    <w:rsid w:val="004A0D76"/>
    <w:rsid w:val="004A2B57"/>
    <w:rsid w:val="004A3BDD"/>
    <w:rsid w:val="004B026D"/>
    <w:rsid w:val="004B3DCA"/>
    <w:rsid w:val="004B507B"/>
    <w:rsid w:val="004B66AA"/>
    <w:rsid w:val="004B6B9E"/>
    <w:rsid w:val="004C0A64"/>
    <w:rsid w:val="004C6E88"/>
    <w:rsid w:val="004D30B9"/>
    <w:rsid w:val="004D355E"/>
    <w:rsid w:val="004D532E"/>
    <w:rsid w:val="004D556A"/>
    <w:rsid w:val="004D78A9"/>
    <w:rsid w:val="004E1134"/>
    <w:rsid w:val="004E1293"/>
    <w:rsid w:val="004E1A3D"/>
    <w:rsid w:val="004E348F"/>
    <w:rsid w:val="004F115B"/>
    <w:rsid w:val="004F4341"/>
    <w:rsid w:val="004F495A"/>
    <w:rsid w:val="00501377"/>
    <w:rsid w:val="00503240"/>
    <w:rsid w:val="00504BD9"/>
    <w:rsid w:val="00506807"/>
    <w:rsid w:val="00506BE0"/>
    <w:rsid w:val="00511E58"/>
    <w:rsid w:val="00516FE3"/>
    <w:rsid w:val="00522C76"/>
    <w:rsid w:val="0052354C"/>
    <w:rsid w:val="00532260"/>
    <w:rsid w:val="005328E9"/>
    <w:rsid w:val="00532E6B"/>
    <w:rsid w:val="005335DE"/>
    <w:rsid w:val="00534076"/>
    <w:rsid w:val="00536009"/>
    <w:rsid w:val="005417FE"/>
    <w:rsid w:val="00543608"/>
    <w:rsid w:val="00544364"/>
    <w:rsid w:val="00544B2A"/>
    <w:rsid w:val="00544BEB"/>
    <w:rsid w:val="00544E94"/>
    <w:rsid w:val="0054577F"/>
    <w:rsid w:val="00555BC3"/>
    <w:rsid w:val="005619CC"/>
    <w:rsid w:val="005635C7"/>
    <w:rsid w:val="00565CBF"/>
    <w:rsid w:val="005665B1"/>
    <w:rsid w:val="005709A3"/>
    <w:rsid w:val="005736CD"/>
    <w:rsid w:val="005738F5"/>
    <w:rsid w:val="0057566D"/>
    <w:rsid w:val="0057573D"/>
    <w:rsid w:val="00576CC9"/>
    <w:rsid w:val="00591748"/>
    <w:rsid w:val="00592595"/>
    <w:rsid w:val="0059361B"/>
    <w:rsid w:val="005A5613"/>
    <w:rsid w:val="005A5F6E"/>
    <w:rsid w:val="005A7B4A"/>
    <w:rsid w:val="005A7C12"/>
    <w:rsid w:val="005B0934"/>
    <w:rsid w:val="005B1AF1"/>
    <w:rsid w:val="005B5DD2"/>
    <w:rsid w:val="005B7383"/>
    <w:rsid w:val="005B738B"/>
    <w:rsid w:val="005D502E"/>
    <w:rsid w:val="005D5287"/>
    <w:rsid w:val="005D6037"/>
    <w:rsid w:val="005D651E"/>
    <w:rsid w:val="005E13E3"/>
    <w:rsid w:val="005E23C4"/>
    <w:rsid w:val="005E389B"/>
    <w:rsid w:val="005F30CC"/>
    <w:rsid w:val="00600621"/>
    <w:rsid w:val="006033FD"/>
    <w:rsid w:val="00606645"/>
    <w:rsid w:val="00607A03"/>
    <w:rsid w:val="006143C2"/>
    <w:rsid w:val="00614B0F"/>
    <w:rsid w:val="00616AAD"/>
    <w:rsid w:val="006177D0"/>
    <w:rsid w:val="0062335F"/>
    <w:rsid w:val="00626EE6"/>
    <w:rsid w:val="006315B1"/>
    <w:rsid w:val="0063509B"/>
    <w:rsid w:val="00635BCD"/>
    <w:rsid w:val="00640991"/>
    <w:rsid w:val="00640AD8"/>
    <w:rsid w:val="006426D2"/>
    <w:rsid w:val="00645AFC"/>
    <w:rsid w:val="00652667"/>
    <w:rsid w:val="00653A89"/>
    <w:rsid w:val="00655991"/>
    <w:rsid w:val="00661D30"/>
    <w:rsid w:val="00663F5D"/>
    <w:rsid w:val="00672336"/>
    <w:rsid w:val="006775FC"/>
    <w:rsid w:val="006823D4"/>
    <w:rsid w:val="00684D0D"/>
    <w:rsid w:val="00686774"/>
    <w:rsid w:val="00692FEB"/>
    <w:rsid w:val="00696662"/>
    <w:rsid w:val="00697418"/>
    <w:rsid w:val="006978E0"/>
    <w:rsid w:val="006A2A7E"/>
    <w:rsid w:val="006A73EB"/>
    <w:rsid w:val="006B2A00"/>
    <w:rsid w:val="006B6206"/>
    <w:rsid w:val="006C1F14"/>
    <w:rsid w:val="006C2FFA"/>
    <w:rsid w:val="006C62F0"/>
    <w:rsid w:val="006D0415"/>
    <w:rsid w:val="006D18B4"/>
    <w:rsid w:val="006D384B"/>
    <w:rsid w:val="006D3903"/>
    <w:rsid w:val="006D5F2A"/>
    <w:rsid w:val="006D672F"/>
    <w:rsid w:val="006D7792"/>
    <w:rsid w:val="006D796D"/>
    <w:rsid w:val="006E0498"/>
    <w:rsid w:val="006E18B5"/>
    <w:rsid w:val="006E1E02"/>
    <w:rsid w:val="006E2EB8"/>
    <w:rsid w:val="006E30E7"/>
    <w:rsid w:val="006F1397"/>
    <w:rsid w:val="006F7139"/>
    <w:rsid w:val="00711A7A"/>
    <w:rsid w:val="00713E91"/>
    <w:rsid w:val="007249A8"/>
    <w:rsid w:val="00727376"/>
    <w:rsid w:val="007321D5"/>
    <w:rsid w:val="007327DB"/>
    <w:rsid w:val="00732BB6"/>
    <w:rsid w:val="00735935"/>
    <w:rsid w:val="007458EE"/>
    <w:rsid w:val="00745B6A"/>
    <w:rsid w:val="007473CF"/>
    <w:rsid w:val="00747B39"/>
    <w:rsid w:val="00747B9A"/>
    <w:rsid w:val="00754111"/>
    <w:rsid w:val="007573A3"/>
    <w:rsid w:val="007602B0"/>
    <w:rsid w:val="007663E0"/>
    <w:rsid w:val="00773573"/>
    <w:rsid w:val="00782D21"/>
    <w:rsid w:val="00784376"/>
    <w:rsid w:val="00784A81"/>
    <w:rsid w:val="00784C21"/>
    <w:rsid w:val="007857BB"/>
    <w:rsid w:val="00785BEC"/>
    <w:rsid w:val="007924B9"/>
    <w:rsid w:val="007953D9"/>
    <w:rsid w:val="00796E70"/>
    <w:rsid w:val="007A10F6"/>
    <w:rsid w:val="007A34E1"/>
    <w:rsid w:val="007A57FB"/>
    <w:rsid w:val="007A64E5"/>
    <w:rsid w:val="007A6A58"/>
    <w:rsid w:val="007B2BE4"/>
    <w:rsid w:val="007B4529"/>
    <w:rsid w:val="007B6B35"/>
    <w:rsid w:val="007B7524"/>
    <w:rsid w:val="007C7026"/>
    <w:rsid w:val="007C7E3F"/>
    <w:rsid w:val="007D0383"/>
    <w:rsid w:val="007D5D00"/>
    <w:rsid w:val="007E2A15"/>
    <w:rsid w:val="007E3E67"/>
    <w:rsid w:val="007E60B3"/>
    <w:rsid w:val="007F67F3"/>
    <w:rsid w:val="0080308F"/>
    <w:rsid w:val="008063CA"/>
    <w:rsid w:val="008075D8"/>
    <w:rsid w:val="00810365"/>
    <w:rsid w:val="00811A29"/>
    <w:rsid w:val="00811E22"/>
    <w:rsid w:val="00827D8F"/>
    <w:rsid w:val="00833584"/>
    <w:rsid w:val="0083361F"/>
    <w:rsid w:val="008415A4"/>
    <w:rsid w:val="00843397"/>
    <w:rsid w:val="00847DFB"/>
    <w:rsid w:val="00852D63"/>
    <w:rsid w:val="008542D9"/>
    <w:rsid w:val="00854905"/>
    <w:rsid w:val="008557B4"/>
    <w:rsid w:val="00855AF8"/>
    <w:rsid w:val="00857A1F"/>
    <w:rsid w:val="008668FA"/>
    <w:rsid w:val="008715B1"/>
    <w:rsid w:val="00873DD8"/>
    <w:rsid w:val="00877208"/>
    <w:rsid w:val="00881E49"/>
    <w:rsid w:val="00882004"/>
    <w:rsid w:val="00882535"/>
    <w:rsid w:val="00882762"/>
    <w:rsid w:val="008848CB"/>
    <w:rsid w:val="00884DA2"/>
    <w:rsid w:val="008869A5"/>
    <w:rsid w:val="008A3576"/>
    <w:rsid w:val="008A3B8E"/>
    <w:rsid w:val="008B3DB3"/>
    <w:rsid w:val="008B5B09"/>
    <w:rsid w:val="008B5F01"/>
    <w:rsid w:val="008C0891"/>
    <w:rsid w:val="008C0E59"/>
    <w:rsid w:val="008C0E83"/>
    <w:rsid w:val="008C2D9E"/>
    <w:rsid w:val="008C665A"/>
    <w:rsid w:val="008D131E"/>
    <w:rsid w:val="008D3C02"/>
    <w:rsid w:val="008D6592"/>
    <w:rsid w:val="008E197E"/>
    <w:rsid w:val="008E3561"/>
    <w:rsid w:val="008F0EF8"/>
    <w:rsid w:val="008F16C8"/>
    <w:rsid w:val="008F2098"/>
    <w:rsid w:val="008F33F4"/>
    <w:rsid w:val="008F63A3"/>
    <w:rsid w:val="0090130C"/>
    <w:rsid w:val="00901DE5"/>
    <w:rsid w:val="00902733"/>
    <w:rsid w:val="00902E6A"/>
    <w:rsid w:val="00907929"/>
    <w:rsid w:val="00914862"/>
    <w:rsid w:val="00925350"/>
    <w:rsid w:val="0092565F"/>
    <w:rsid w:val="009259FA"/>
    <w:rsid w:val="00927287"/>
    <w:rsid w:val="00931638"/>
    <w:rsid w:val="009415D4"/>
    <w:rsid w:val="0094600B"/>
    <w:rsid w:val="0094670B"/>
    <w:rsid w:val="00947343"/>
    <w:rsid w:val="00947D2D"/>
    <w:rsid w:val="00952670"/>
    <w:rsid w:val="00952B00"/>
    <w:rsid w:val="00956F61"/>
    <w:rsid w:val="009617FE"/>
    <w:rsid w:val="0096215D"/>
    <w:rsid w:val="009636A3"/>
    <w:rsid w:val="00972EE9"/>
    <w:rsid w:val="00974AA4"/>
    <w:rsid w:val="00976A38"/>
    <w:rsid w:val="009820EF"/>
    <w:rsid w:val="0098739F"/>
    <w:rsid w:val="00987450"/>
    <w:rsid w:val="00991A9A"/>
    <w:rsid w:val="0099231E"/>
    <w:rsid w:val="009927D0"/>
    <w:rsid w:val="00995BB4"/>
    <w:rsid w:val="009A2563"/>
    <w:rsid w:val="009A7E11"/>
    <w:rsid w:val="009B21FE"/>
    <w:rsid w:val="009B46DA"/>
    <w:rsid w:val="009B74AB"/>
    <w:rsid w:val="009C59E9"/>
    <w:rsid w:val="009D3041"/>
    <w:rsid w:val="009D5FA0"/>
    <w:rsid w:val="009E0AE5"/>
    <w:rsid w:val="009E1070"/>
    <w:rsid w:val="009E2D77"/>
    <w:rsid w:val="009F1C5A"/>
    <w:rsid w:val="009F363A"/>
    <w:rsid w:val="009F3BA5"/>
    <w:rsid w:val="00A10158"/>
    <w:rsid w:val="00A109B6"/>
    <w:rsid w:val="00A12AAF"/>
    <w:rsid w:val="00A17DC6"/>
    <w:rsid w:val="00A26171"/>
    <w:rsid w:val="00A2660F"/>
    <w:rsid w:val="00A27214"/>
    <w:rsid w:val="00A274C4"/>
    <w:rsid w:val="00A27D09"/>
    <w:rsid w:val="00A45DA3"/>
    <w:rsid w:val="00A4765D"/>
    <w:rsid w:val="00A52179"/>
    <w:rsid w:val="00A52AE9"/>
    <w:rsid w:val="00A53A3E"/>
    <w:rsid w:val="00A56572"/>
    <w:rsid w:val="00A60495"/>
    <w:rsid w:val="00A65250"/>
    <w:rsid w:val="00A70085"/>
    <w:rsid w:val="00A70A91"/>
    <w:rsid w:val="00A723B8"/>
    <w:rsid w:val="00A75E7E"/>
    <w:rsid w:val="00A778EE"/>
    <w:rsid w:val="00A80058"/>
    <w:rsid w:val="00A812D5"/>
    <w:rsid w:val="00A82B68"/>
    <w:rsid w:val="00A84281"/>
    <w:rsid w:val="00A8492D"/>
    <w:rsid w:val="00A865CE"/>
    <w:rsid w:val="00A87D23"/>
    <w:rsid w:val="00A92503"/>
    <w:rsid w:val="00A930D5"/>
    <w:rsid w:val="00A9425F"/>
    <w:rsid w:val="00A9462D"/>
    <w:rsid w:val="00A95CBB"/>
    <w:rsid w:val="00A97512"/>
    <w:rsid w:val="00A97CB9"/>
    <w:rsid w:val="00AA4967"/>
    <w:rsid w:val="00AB190E"/>
    <w:rsid w:val="00AC724A"/>
    <w:rsid w:val="00AD1207"/>
    <w:rsid w:val="00AD239B"/>
    <w:rsid w:val="00AE1A33"/>
    <w:rsid w:val="00AE4D82"/>
    <w:rsid w:val="00AE535A"/>
    <w:rsid w:val="00AE6667"/>
    <w:rsid w:val="00AF16AC"/>
    <w:rsid w:val="00AF2560"/>
    <w:rsid w:val="00AF424A"/>
    <w:rsid w:val="00AF50D6"/>
    <w:rsid w:val="00B1284C"/>
    <w:rsid w:val="00B1535B"/>
    <w:rsid w:val="00B2120C"/>
    <w:rsid w:val="00B22340"/>
    <w:rsid w:val="00B226B7"/>
    <w:rsid w:val="00B22785"/>
    <w:rsid w:val="00B22EF6"/>
    <w:rsid w:val="00B31CE4"/>
    <w:rsid w:val="00B31E74"/>
    <w:rsid w:val="00B34F0B"/>
    <w:rsid w:val="00B37070"/>
    <w:rsid w:val="00B462A9"/>
    <w:rsid w:val="00B50EC4"/>
    <w:rsid w:val="00B60696"/>
    <w:rsid w:val="00B629C6"/>
    <w:rsid w:val="00B64958"/>
    <w:rsid w:val="00B66369"/>
    <w:rsid w:val="00B6709F"/>
    <w:rsid w:val="00B70D63"/>
    <w:rsid w:val="00B75738"/>
    <w:rsid w:val="00B7654D"/>
    <w:rsid w:val="00B80202"/>
    <w:rsid w:val="00B80EEF"/>
    <w:rsid w:val="00B821D1"/>
    <w:rsid w:val="00B84CAE"/>
    <w:rsid w:val="00B85421"/>
    <w:rsid w:val="00B927B5"/>
    <w:rsid w:val="00BA43CD"/>
    <w:rsid w:val="00BA6561"/>
    <w:rsid w:val="00BB0407"/>
    <w:rsid w:val="00BB0683"/>
    <w:rsid w:val="00BB38DF"/>
    <w:rsid w:val="00BB4CA2"/>
    <w:rsid w:val="00BD2789"/>
    <w:rsid w:val="00BD42ED"/>
    <w:rsid w:val="00BE14FC"/>
    <w:rsid w:val="00BE5906"/>
    <w:rsid w:val="00BF12F5"/>
    <w:rsid w:val="00BF4671"/>
    <w:rsid w:val="00BF49B5"/>
    <w:rsid w:val="00BF5329"/>
    <w:rsid w:val="00C0014B"/>
    <w:rsid w:val="00C01618"/>
    <w:rsid w:val="00C02504"/>
    <w:rsid w:val="00C02A8A"/>
    <w:rsid w:val="00C03EBA"/>
    <w:rsid w:val="00C047F8"/>
    <w:rsid w:val="00C05424"/>
    <w:rsid w:val="00C07BA1"/>
    <w:rsid w:val="00C07E0A"/>
    <w:rsid w:val="00C25EE4"/>
    <w:rsid w:val="00C2607D"/>
    <w:rsid w:val="00C326A0"/>
    <w:rsid w:val="00C35549"/>
    <w:rsid w:val="00C367DE"/>
    <w:rsid w:val="00C369E9"/>
    <w:rsid w:val="00C4533A"/>
    <w:rsid w:val="00C55239"/>
    <w:rsid w:val="00C55E6E"/>
    <w:rsid w:val="00C60D5C"/>
    <w:rsid w:val="00C6589B"/>
    <w:rsid w:val="00C65B20"/>
    <w:rsid w:val="00C669BB"/>
    <w:rsid w:val="00C70E6C"/>
    <w:rsid w:val="00C71DFA"/>
    <w:rsid w:val="00C71FB9"/>
    <w:rsid w:val="00C735E1"/>
    <w:rsid w:val="00C76B28"/>
    <w:rsid w:val="00C86E9D"/>
    <w:rsid w:val="00C91623"/>
    <w:rsid w:val="00C91E74"/>
    <w:rsid w:val="00C967FE"/>
    <w:rsid w:val="00C96BCA"/>
    <w:rsid w:val="00CA0250"/>
    <w:rsid w:val="00CA0B46"/>
    <w:rsid w:val="00CA0EDA"/>
    <w:rsid w:val="00CA244D"/>
    <w:rsid w:val="00CA6A29"/>
    <w:rsid w:val="00CB2E15"/>
    <w:rsid w:val="00CB4EE6"/>
    <w:rsid w:val="00CB742F"/>
    <w:rsid w:val="00CC3C1E"/>
    <w:rsid w:val="00CC5A37"/>
    <w:rsid w:val="00CC5CB8"/>
    <w:rsid w:val="00CC756A"/>
    <w:rsid w:val="00CD1372"/>
    <w:rsid w:val="00CE35ED"/>
    <w:rsid w:val="00CF353F"/>
    <w:rsid w:val="00CF6800"/>
    <w:rsid w:val="00CF6A32"/>
    <w:rsid w:val="00D037DC"/>
    <w:rsid w:val="00D048A5"/>
    <w:rsid w:val="00D05D58"/>
    <w:rsid w:val="00D06CAB"/>
    <w:rsid w:val="00D2126E"/>
    <w:rsid w:val="00D253E6"/>
    <w:rsid w:val="00D2798A"/>
    <w:rsid w:val="00D324D2"/>
    <w:rsid w:val="00D35C2D"/>
    <w:rsid w:val="00D4010D"/>
    <w:rsid w:val="00D43025"/>
    <w:rsid w:val="00D50C5C"/>
    <w:rsid w:val="00D52AD6"/>
    <w:rsid w:val="00D542E8"/>
    <w:rsid w:val="00D54668"/>
    <w:rsid w:val="00D547FD"/>
    <w:rsid w:val="00D55BF7"/>
    <w:rsid w:val="00D56791"/>
    <w:rsid w:val="00D62250"/>
    <w:rsid w:val="00D711C3"/>
    <w:rsid w:val="00D72221"/>
    <w:rsid w:val="00D742A9"/>
    <w:rsid w:val="00D747B8"/>
    <w:rsid w:val="00D7638B"/>
    <w:rsid w:val="00D821A0"/>
    <w:rsid w:val="00D848AA"/>
    <w:rsid w:val="00D85245"/>
    <w:rsid w:val="00D86644"/>
    <w:rsid w:val="00D91178"/>
    <w:rsid w:val="00D938CA"/>
    <w:rsid w:val="00D95EE9"/>
    <w:rsid w:val="00D96FA1"/>
    <w:rsid w:val="00D97104"/>
    <w:rsid w:val="00D971E1"/>
    <w:rsid w:val="00DA56BF"/>
    <w:rsid w:val="00DA5A3D"/>
    <w:rsid w:val="00DA6EF4"/>
    <w:rsid w:val="00DB1B7C"/>
    <w:rsid w:val="00DB28A4"/>
    <w:rsid w:val="00DB3802"/>
    <w:rsid w:val="00DB40C2"/>
    <w:rsid w:val="00DB43AE"/>
    <w:rsid w:val="00DB6BA6"/>
    <w:rsid w:val="00DB6DF1"/>
    <w:rsid w:val="00DC0655"/>
    <w:rsid w:val="00DC09C1"/>
    <w:rsid w:val="00DD116D"/>
    <w:rsid w:val="00DE25A5"/>
    <w:rsid w:val="00DE6E6A"/>
    <w:rsid w:val="00DF4E51"/>
    <w:rsid w:val="00DF6CBD"/>
    <w:rsid w:val="00E02D2F"/>
    <w:rsid w:val="00E02FBC"/>
    <w:rsid w:val="00E03F4F"/>
    <w:rsid w:val="00E122F4"/>
    <w:rsid w:val="00E15562"/>
    <w:rsid w:val="00E2005D"/>
    <w:rsid w:val="00E227B1"/>
    <w:rsid w:val="00E26D61"/>
    <w:rsid w:val="00E31578"/>
    <w:rsid w:val="00E34801"/>
    <w:rsid w:val="00E36F4A"/>
    <w:rsid w:val="00E37F4E"/>
    <w:rsid w:val="00E424EA"/>
    <w:rsid w:val="00E42598"/>
    <w:rsid w:val="00E43E22"/>
    <w:rsid w:val="00E536DA"/>
    <w:rsid w:val="00E54572"/>
    <w:rsid w:val="00E5658A"/>
    <w:rsid w:val="00E56888"/>
    <w:rsid w:val="00E60A04"/>
    <w:rsid w:val="00E62BD2"/>
    <w:rsid w:val="00E72851"/>
    <w:rsid w:val="00E75B7D"/>
    <w:rsid w:val="00E85F59"/>
    <w:rsid w:val="00E86CA5"/>
    <w:rsid w:val="00E87374"/>
    <w:rsid w:val="00E91EC2"/>
    <w:rsid w:val="00E9205E"/>
    <w:rsid w:val="00E9746C"/>
    <w:rsid w:val="00EA0240"/>
    <w:rsid w:val="00EA3482"/>
    <w:rsid w:val="00EA4CF1"/>
    <w:rsid w:val="00EA5B4A"/>
    <w:rsid w:val="00EB16D6"/>
    <w:rsid w:val="00EB1C08"/>
    <w:rsid w:val="00EB34BD"/>
    <w:rsid w:val="00EB58DC"/>
    <w:rsid w:val="00EC4A49"/>
    <w:rsid w:val="00EC551F"/>
    <w:rsid w:val="00ED3847"/>
    <w:rsid w:val="00EE1955"/>
    <w:rsid w:val="00EE3535"/>
    <w:rsid w:val="00EF3D52"/>
    <w:rsid w:val="00EF668D"/>
    <w:rsid w:val="00F03E41"/>
    <w:rsid w:val="00F20D49"/>
    <w:rsid w:val="00F211B7"/>
    <w:rsid w:val="00F21741"/>
    <w:rsid w:val="00F23D19"/>
    <w:rsid w:val="00F37DAF"/>
    <w:rsid w:val="00F4002C"/>
    <w:rsid w:val="00F40CA3"/>
    <w:rsid w:val="00F4131E"/>
    <w:rsid w:val="00F43E0D"/>
    <w:rsid w:val="00F45DB5"/>
    <w:rsid w:val="00F5075C"/>
    <w:rsid w:val="00F5328D"/>
    <w:rsid w:val="00F5467A"/>
    <w:rsid w:val="00F54B1F"/>
    <w:rsid w:val="00F55297"/>
    <w:rsid w:val="00F57DFD"/>
    <w:rsid w:val="00F612C0"/>
    <w:rsid w:val="00F61B83"/>
    <w:rsid w:val="00F676CB"/>
    <w:rsid w:val="00F75D58"/>
    <w:rsid w:val="00F775CD"/>
    <w:rsid w:val="00F81E53"/>
    <w:rsid w:val="00F831CA"/>
    <w:rsid w:val="00F85139"/>
    <w:rsid w:val="00F86141"/>
    <w:rsid w:val="00F9067D"/>
    <w:rsid w:val="00F96565"/>
    <w:rsid w:val="00FA005F"/>
    <w:rsid w:val="00FA36B8"/>
    <w:rsid w:val="00FA481A"/>
    <w:rsid w:val="00FB08A4"/>
    <w:rsid w:val="00FB1435"/>
    <w:rsid w:val="00FB2114"/>
    <w:rsid w:val="00FB449A"/>
    <w:rsid w:val="00FB6C2F"/>
    <w:rsid w:val="00FC113A"/>
    <w:rsid w:val="00FC1424"/>
    <w:rsid w:val="00FC2DF2"/>
    <w:rsid w:val="00FC5D69"/>
    <w:rsid w:val="00FD080D"/>
    <w:rsid w:val="00FD497C"/>
    <w:rsid w:val="00FD5BCF"/>
    <w:rsid w:val="00FD7DA5"/>
    <w:rsid w:val="00FE4B15"/>
    <w:rsid w:val="00FE5315"/>
    <w:rsid w:val="00FE6DA0"/>
    <w:rsid w:val="00FE788D"/>
    <w:rsid w:val="00FF1307"/>
    <w:rsid w:val="044F7167"/>
    <w:rsid w:val="05562C40"/>
    <w:rsid w:val="06E44D86"/>
    <w:rsid w:val="082F4703"/>
    <w:rsid w:val="091232FA"/>
    <w:rsid w:val="16983049"/>
    <w:rsid w:val="193E726F"/>
    <w:rsid w:val="1C625E6D"/>
    <w:rsid w:val="1C670970"/>
    <w:rsid w:val="1CD203FA"/>
    <w:rsid w:val="1DB57E95"/>
    <w:rsid w:val="1E041241"/>
    <w:rsid w:val="203211B0"/>
    <w:rsid w:val="206B44E2"/>
    <w:rsid w:val="20A52A99"/>
    <w:rsid w:val="26F94BFC"/>
    <w:rsid w:val="27112262"/>
    <w:rsid w:val="27D37CBB"/>
    <w:rsid w:val="287B15F7"/>
    <w:rsid w:val="2F2E0979"/>
    <w:rsid w:val="302E00A6"/>
    <w:rsid w:val="304768A9"/>
    <w:rsid w:val="30C06F62"/>
    <w:rsid w:val="324428AD"/>
    <w:rsid w:val="35A14E60"/>
    <w:rsid w:val="3B551546"/>
    <w:rsid w:val="3E4E53CB"/>
    <w:rsid w:val="3EF364D3"/>
    <w:rsid w:val="404B5DF8"/>
    <w:rsid w:val="4117212C"/>
    <w:rsid w:val="4290790C"/>
    <w:rsid w:val="436C5601"/>
    <w:rsid w:val="44700B13"/>
    <w:rsid w:val="448970FD"/>
    <w:rsid w:val="47F04085"/>
    <w:rsid w:val="48F65DA6"/>
    <w:rsid w:val="4A7E5DEA"/>
    <w:rsid w:val="4B0E7E17"/>
    <w:rsid w:val="4CF2772D"/>
    <w:rsid w:val="4E7B6C17"/>
    <w:rsid w:val="50DE366E"/>
    <w:rsid w:val="53D7641E"/>
    <w:rsid w:val="567B259B"/>
    <w:rsid w:val="59D05D23"/>
    <w:rsid w:val="64CB46EA"/>
    <w:rsid w:val="64CD7244"/>
    <w:rsid w:val="66BC54D5"/>
    <w:rsid w:val="695E1C9B"/>
    <w:rsid w:val="6AD85DD6"/>
    <w:rsid w:val="6AE94C53"/>
    <w:rsid w:val="6CCF28DB"/>
    <w:rsid w:val="6D132F44"/>
    <w:rsid w:val="6E540C4F"/>
    <w:rsid w:val="6EB77EC7"/>
    <w:rsid w:val="6F582FD0"/>
    <w:rsid w:val="72150DCC"/>
    <w:rsid w:val="72EE303A"/>
    <w:rsid w:val="74081585"/>
    <w:rsid w:val="76F80F94"/>
    <w:rsid w:val="78124347"/>
    <w:rsid w:val="7DFA3D19"/>
    <w:rsid w:val="7E655B4E"/>
    <w:rsid w:val="7E8D0C00"/>
    <w:rsid w:val="DEFB3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26"/>
    <w:qFormat/>
    <w:uiPriority w:val="0"/>
    <w:pPr>
      <w:keepNext/>
      <w:adjustRightInd w:val="0"/>
      <w:snapToGrid w:val="0"/>
      <w:jc w:val="center"/>
      <w:outlineLvl w:val="0"/>
    </w:pPr>
    <w:rPr>
      <w:rFonts w:ascii="宋体" w:hAnsi="宋体"/>
      <w:b/>
      <w:bCs/>
      <w:sz w:val="24"/>
    </w:rPr>
  </w:style>
  <w:style w:type="paragraph" w:styleId="4">
    <w:name w:val="heading 2"/>
    <w:basedOn w:val="1"/>
    <w:next w:val="1"/>
    <w:link w:val="27"/>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28"/>
    <w:qFormat/>
    <w:uiPriority w:val="0"/>
    <w:pPr>
      <w:keepNext/>
      <w:keepLines/>
      <w:spacing w:before="260" w:after="260" w:line="413" w:lineRule="auto"/>
      <w:outlineLvl w:val="2"/>
    </w:pPr>
    <w:rPr>
      <w:b/>
      <w:sz w:val="32"/>
    </w:rPr>
  </w:style>
  <w:style w:type="paragraph" w:styleId="6">
    <w:name w:val="heading 5"/>
    <w:basedOn w:val="1"/>
    <w:next w:val="2"/>
    <w:link w:val="61"/>
    <w:qFormat/>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0">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7">
    <w:name w:val="caption"/>
    <w:basedOn w:val="1"/>
    <w:next w:val="1"/>
    <w:qFormat/>
    <w:uiPriority w:val="0"/>
    <w:pPr>
      <w:tabs>
        <w:tab w:val="center" w:pos="10467"/>
        <w:tab w:val="left" w:pos="13095"/>
      </w:tabs>
      <w:spacing w:before="60" w:line="460" w:lineRule="exact"/>
      <w:jc w:val="center"/>
    </w:pPr>
    <w:rPr>
      <w:rFonts w:ascii="Arial" w:hAnsi="Arial" w:cs="Arial"/>
      <w:sz w:val="24"/>
      <w:szCs w:val="24"/>
    </w:rPr>
  </w:style>
  <w:style w:type="paragraph" w:styleId="8">
    <w:name w:val="annotation text"/>
    <w:basedOn w:val="1"/>
    <w:link w:val="37"/>
    <w:qFormat/>
    <w:uiPriority w:val="0"/>
    <w:pPr>
      <w:jc w:val="left"/>
    </w:pPr>
  </w:style>
  <w:style w:type="paragraph" w:styleId="9">
    <w:name w:val="Body Text"/>
    <w:basedOn w:val="1"/>
    <w:link w:val="36"/>
    <w:qFormat/>
    <w:uiPriority w:val="0"/>
    <w:pPr>
      <w:spacing w:after="120"/>
    </w:pPr>
  </w:style>
  <w:style w:type="paragraph" w:styleId="10">
    <w:name w:val="Body Text Indent"/>
    <w:basedOn w:val="1"/>
    <w:link w:val="35"/>
    <w:qFormat/>
    <w:uiPriority w:val="0"/>
    <w:pPr>
      <w:adjustRightInd w:val="0"/>
      <w:snapToGrid w:val="0"/>
      <w:spacing w:line="360" w:lineRule="auto"/>
      <w:ind w:firstLine="480" w:firstLineChars="200"/>
    </w:pPr>
    <w:rPr>
      <w:sz w:val="24"/>
    </w:rPr>
  </w:style>
  <w:style w:type="paragraph" w:styleId="11">
    <w:name w:val="Plain Text"/>
    <w:basedOn w:val="1"/>
    <w:link w:val="42"/>
    <w:qFormat/>
    <w:uiPriority w:val="0"/>
    <w:rPr>
      <w:rFonts w:ascii="宋体" w:hAnsi="Courier New"/>
      <w:color w:val="000000"/>
      <w:sz w:val="26"/>
    </w:rPr>
  </w:style>
  <w:style w:type="paragraph" w:styleId="12">
    <w:name w:val="Date"/>
    <w:basedOn w:val="1"/>
    <w:next w:val="1"/>
    <w:link w:val="39"/>
    <w:qFormat/>
    <w:uiPriority w:val="0"/>
    <w:pPr>
      <w:adjustRightInd w:val="0"/>
      <w:spacing w:line="312" w:lineRule="atLeast"/>
      <w:textAlignment w:val="baseline"/>
    </w:pPr>
    <w:rPr>
      <w:kern w:val="0"/>
      <w:sz w:val="24"/>
    </w:rPr>
  </w:style>
  <w:style w:type="paragraph" w:styleId="13">
    <w:name w:val="Body Text Indent 2"/>
    <w:basedOn w:val="1"/>
    <w:link w:val="34"/>
    <w:qFormat/>
    <w:uiPriority w:val="0"/>
    <w:pPr>
      <w:ind w:firstLine="705"/>
    </w:pPr>
    <w:rPr>
      <w:rFonts w:ascii="宋体" w:hAnsi="宋体"/>
      <w:sz w:val="28"/>
    </w:rPr>
  </w:style>
  <w:style w:type="paragraph" w:styleId="14">
    <w:name w:val="Balloon Text"/>
    <w:basedOn w:val="1"/>
    <w:link w:val="40"/>
    <w:qFormat/>
    <w:uiPriority w:val="0"/>
    <w:rPr>
      <w:sz w:val="18"/>
      <w:szCs w:val="18"/>
    </w:rPr>
  </w:style>
  <w:style w:type="paragraph" w:styleId="15">
    <w:name w:val="footer"/>
    <w:basedOn w:val="1"/>
    <w:link w:val="38"/>
    <w:qFormat/>
    <w:uiPriority w:val="0"/>
    <w:pPr>
      <w:tabs>
        <w:tab w:val="center" w:pos="4153"/>
        <w:tab w:val="right" w:pos="8306"/>
      </w:tabs>
      <w:snapToGrid w:val="0"/>
      <w:jc w:val="left"/>
    </w:pPr>
    <w:rPr>
      <w:sz w:val="18"/>
    </w:rPr>
  </w:style>
  <w:style w:type="paragraph" w:styleId="16">
    <w:name w:val="header"/>
    <w:basedOn w:val="1"/>
    <w:link w:val="3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qFormat/>
    <w:uiPriority w:val="0"/>
    <w:pPr>
      <w:jc w:val="center"/>
    </w:pPr>
    <w:rPr>
      <w:bCs/>
      <w:sz w:val="24"/>
      <w:szCs w:val="24"/>
    </w:rPr>
  </w:style>
  <w:style w:type="paragraph" w:styleId="18">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paragraph" w:styleId="19">
    <w:name w:val="Body Text First Indent"/>
    <w:basedOn w:val="9"/>
    <w:link w:val="41"/>
    <w:qFormat/>
    <w:uiPriority w:val="0"/>
    <w:pPr>
      <w:ind w:firstLine="420" w:firstLineChars="100"/>
    </w:pPr>
  </w:style>
  <w:style w:type="table" w:styleId="21">
    <w:name w:val="Table Grid"/>
    <w:basedOn w:val="20"/>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2">
    <w:name w:val="Table Grid 1"/>
    <w:basedOn w:val="20"/>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24">
    <w:name w:val="page number"/>
    <w:basedOn w:val="23"/>
    <w:qFormat/>
    <w:uiPriority w:val="0"/>
    <w:rPr>
      <w:kern w:val="0"/>
      <w:sz w:val="24"/>
      <w:szCs w:val="20"/>
    </w:rPr>
  </w:style>
  <w:style w:type="character" w:styleId="25">
    <w:name w:val="Hyperlink"/>
    <w:basedOn w:val="23"/>
    <w:qFormat/>
    <w:uiPriority w:val="0"/>
    <w:rPr>
      <w:color w:val="0000FF"/>
      <w:kern w:val="0"/>
      <w:sz w:val="24"/>
      <w:szCs w:val="20"/>
      <w:u w:val="single"/>
    </w:rPr>
  </w:style>
  <w:style w:type="character" w:customStyle="1" w:styleId="26">
    <w:name w:val="标题 1 字符"/>
    <w:basedOn w:val="23"/>
    <w:link w:val="3"/>
    <w:qFormat/>
    <w:uiPriority w:val="0"/>
    <w:rPr>
      <w:rFonts w:ascii="宋体" w:hAnsi="宋体" w:eastAsia="宋体" w:cs="Times New Roman"/>
      <w:b/>
      <w:bCs/>
      <w:sz w:val="24"/>
    </w:rPr>
  </w:style>
  <w:style w:type="character" w:customStyle="1" w:styleId="27">
    <w:name w:val="标题 2 字符"/>
    <w:basedOn w:val="23"/>
    <w:link w:val="4"/>
    <w:qFormat/>
    <w:uiPriority w:val="9"/>
    <w:rPr>
      <w:rFonts w:ascii="Cambria" w:hAnsi="Cambria" w:eastAsia="宋体" w:cs="Times New Roman"/>
      <w:b/>
      <w:bCs/>
      <w:sz w:val="32"/>
      <w:szCs w:val="32"/>
    </w:rPr>
  </w:style>
  <w:style w:type="character" w:customStyle="1" w:styleId="28">
    <w:name w:val="标题 3 字符"/>
    <w:basedOn w:val="23"/>
    <w:link w:val="5"/>
    <w:qFormat/>
    <w:uiPriority w:val="0"/>
    <w:rPr>
      <w:rFonts w:ascii="Times New Roman" w:hAnsi="Times New Roman" w:eastAsia="宋体" w:cs="Times New Roman"/>
      <w:b/>
      <w:sz w:val="32"/>
    </w:rPr>
  </w:style>
  <w:style w:type="character" w:customStyle="1" w:styleId="29">
    <w:name w:val="font31"/>
    <w:basedOn w:val="23"/>
    <w:qFormat/>
    <w:uiPriority w:val="0"/>
    <w:rPr>
      <w:rFonts w:hint="default" w:ascii="Times New Roman" w:hAnsi="Times New Roman" w:cs="Times New Roman"/>
      <w:color w:val="000000"/>
      <w:kern w:val="0"/>
      <w:sz w:val="21"/>
      <w:szCs w:val="21"/>
      <w:u w:val="none"/>
    </w:rPr>
  </w:style>
  <w:style w:type="character" w:customStyle="1" w:styleId="30">
    <w:name w:val="bluetxt1"/>
    <w:qFormat/>
    <w:uiPriority w:val="99"/>
  </w:style>
  <w:style w:type="character" w:customStyle="1" w:styleId="31">
    <w:name w:val="font21"/>
    <w:basedOn w:val="23"/>
    <w:qFormat/>
    <w:uiPriority w:val="0"/>
    <w:rPr>
      <w:rFonts w:hint="default" w:ascii="Times New Roman" w:hAnsi="Times New Roman" w:cs="Times New Roman"/>
      <w:color w:val="000000"/>
      <w:kern w:val="0"/>
      <w:sz w:val="21"/>
      <w:szCs w:val="21"/>
      <w:u w:val="none"/>
      <w:vertAlign w:val="superscript"/>
    </w:rPr>
  </w:style>
  <w:style w:type="character" w:customStyle="1" w:styleId="32">
    <w:name w:val="font11"/>
    <w:basedOn w:val="23"/>
    <w:qFormat/>
    <w:uiPriority w:val="0"/>
    <w:rPr>
      <w:rFonts w:hint="eastAsia" w:ascii="宋体" w:hAnsi="宋体" w:eastAsia="宋体" w:cs="宋体"/>
      <w:color w:val="000000"/>
      <w:kern w:val="0"/>
      <w:sz w:val="21"/>
      <w:szCs w:val="21"/>
      <w:u w:val="none"/>
      <w:vertAlign w:val="superscript"/>
    </w:rPr>
  </w:style>
  <w:style w:type="character" w:customStyle="1" w:styleId="33">
    <w:name w:val="页眉 字符"/>
    <w:basedOn w:val="23"/>
    <w:link w:val="16"/>
    <w:qFormat/>
    <w:uiPriority w:val="0"/>
    <w:rPr>
      <w:rFonts w:ascii="Times New Roman" w:hAnsi="Times New Roman" w:eastAsia="宋体" w:cs="Times New Roman"/>
      <w:sz w:val="18"/>
    </w:rPr>
  </w:style>
  <w:style w:type="character" w:customStyle="1" w:styleId="34">
    <w:name w:val="正文文本缩进 2 字符"/>
    <w:basedOn w:val="23"/>
    <w:link w:val="13"/>
    <w:qFormat/>
    <w:uiPriority w:val="0"/>
    <w:rPr>
      <w:rFonts w:ascii="宋体" w:hAnsi="宋体" w:eastAsia="宋体" w:cs="Times New Roman"/>
      <w:sz w:val="28"/>
    </w:rPr>
  </w:style>
  <w:style w:type="character" w:customStyle="1" w:styleId="35">
    <w:name w:val="正文文本缩进 字符"/>
    <w:basedOn w:val="23"/>
    <w:link w:val="10"/>
    <w:qFormat/>
    <w:uiPriority w:val="0"/>
    <w:rPr>
      <w:rFonts w:ascii="Times New Roman" w:hAnsi="Times New Roman" w:eastAsia="宋体" w:cs="Times New Roman"/>
      <w:sz w:val="24"/>
    </w:rPr>
  </w:style>
  <w:style w:type="character" w:customStyle="1" w:styleId="36">
    <w:name w:val="正文文本 字符"/>
    <w:basedOn w:val="23"/>
    <w:link w:val="9"/>
    <w:qFormat/>
    <w:uiPriority w:val="0"/>
    <w:rPr>
      <w:rFonts w:ascii="Times New Roman" w:hAnsi="Times New Roman" w:eastAsia="宋体" w:cs="Times New Roman"/>
    </w:rPr>
  </w:style>
  <w:style w:type="character" w:customStyle="1" w:styleId="37">
    <w:name w:val="批注文字 字符"/>
    <w:basedOn w:val="23"/>
    <w:link w:val="8"/>
    <w:qFormat/>
    <w:uiPriority w:val="0"/>
    <w:rPr>
      <w:rFonts w:ascii="Times New Roman" w:hAnsi="Times New Roman" w:eastAsia="宋体" w:cs="Times New Roman"/>
    </w:rPr>
  </w:style>
  <w:style w:type="character" w:customStyle="1" w:styleId="38">
    <w:name w:val="页脚 字符"/>
    <w:basedOn w:val="23"/>
    <w:link w:val="15"/>
    <w:qFormat/>
    <w:uiPriority w:val="0"/>
    <w:rPr>
      <w:rFonts w:ascii="Times New Roman" w:hAnsi="Times New Roman" w:eastAsia="宋体" w:cs="Times New Roman"/>
      <w:sz w:val="18"/>
    </w:rPr>
  </w:style>
  <w:style w:type="character" w:customStyle="1" w:styleId="39">
    <w:name w:val="日期 字符"/>
    <w:basedOn w:val="23"/>
    <w:link w:val="12"/>
    <w:qFormat/>
    <w:uiPriority w:val="0"/>
    <w:rPr>
      <w:rFonts w:ascii="Times New Roman" w:hAnsi="Times New Roman" w:eastAsia="宋体" w:cs="Times New Roman"/>
      <w:kern w:val="0"/>
      <w:sz w:val="24"/>
    </w:rPr>
  </w:style>
  <w:style w:type="character" w:customStyle="1" w:styleId="40">
    <w:name w:val="批注框文本 字符"/>
    <w:basedOn w:val="23"/>
    <w:link w:val="14"/>
    <w:qFormat/>
    <w:uiPriority w:val="0"/>
    <w:rPr>
      <w:rFonts w:ascii="Times New Roman" w:hAnsi="Times New Roman" w:eastAsia="宋体" w:cs="Times New Roman"/>
      <w:sz w:val="18"/>
      <w:szCs w:val="18"/>
    </w:rPr>
  </w:style>
  <w:style w:type="character" w:customStyle="1" w:styleId="41">
    <w:name w:val="正文文本首行缩进 字符"/>
    <w:basedOn w:val="36"/>
    <w:link w:val="19"/>
    <w:qFormat/>
    <w:uiPriority w:val="0"/>
    <w:rPr>
      <w:rFonts w:ascii="Times New Roman" w:hAnsi="Times New Roman" w:eastAsia="宋体" w:cs="Times New Roman"/>
    </w:rPr>
  </w:style>
  <w:style w:type="character" w:customStyle="1" w:styleId="42">
    <w:name w:val="纯文本 字符"/>
    <w:basedOn w:val="23"/>
    <w:link w:val="11"/>
    <w:qFormat/>
    <w:uiPriority w:val="0"/>
    <w:rPr>
      <w:rFonts w:ascii="宋体" w:hAnsi="Courier New" w:eastAsia="宋体" w:cs="Times New Roman"/>
      <w:color w:val="000000"/>
      <w:sz w:val="26"/>
    </w:rPr>
  </w:style>
  <w:style w:type="paragraph" w:customStyle="1" w:styleId="43">
    <w:name w:val="默认段落字体 Para Char Char Char Char Char Char Char"/>
    <w:basedOn w:val="1"/>
    <w:qFormat/>
    <w:uiPriority w:val="0"/>
    <w:pPr>
      <w:adjustRightInd w:val="0"/>
      <w:spacing w:line="360" w:lineRule="auto"/>
      <w:ind w:left="200" w:hanging="200" w:hangingChars="200"/>
      <w:textAlignment w:val="baseline"/>
    </w:pPr>
    <w:rPr>
      <w:kern w:val="0"/>
      <w:sz w:val="24"/>
      <w:szCs w:val="20"/>
    </w:rPr>
  </w:style>
  <w:style w:type="paragraph" w:customStyle="1" w:styleId="44">
    <w:name w:val="居中正文"/>
    <w:basedOn w:val="19"/>
    <w:qFormat/>
    <w:uiPriority w:val="0"/>
    <w:pPr>
      <w:adjustRightInd w:val="0"/>
      <w:spacing w:before="120" w:after="0" w:line="360" w:lineRule="auto"/>
      <w:ind w:firstLine="0" w:firstLineChars="0"/>
      <w:jc w:val="center"/>
      <w:textAlignment w:val="baseline"/>
    </w:pPr>
    <w:rPr>
      <w:rFonts w:ascii="宋体"/>
      <w:kern w:val="28"/>
      <w:sz w:val="24"/>
    </w:rPr>
  </w:style>
  <w:style w:type="paragraph" w:customStyle="1" w:styleId="45">
    <w:name w:val="表格"/>
    <w:basedOn w:val="1"/>
    <w:qFormat/>
    <w:uiPriority w:val="0"/>
    <w:rPr>
      <w:color w:val="000000"/>
      <w:sz w:val="24"/>
    </w:rPr>
  </w:style>
  <w:style w:type="paragraph" w:customStyle="1" w:styleId="46">
    <w:name w:val="正文2"/>
    <w:basedOn w:val="1"/>
    <w:qFormat/>
    <w:uiPriority w:val="0"/>
    <w:pPr>
      <w:adjustRightInd w:val="0"/>
      <w:snapToGrid w:val="0"/>
      <w:spacing w:line="440" w:lineRule="atLeast"/>
      <w:ind w:firstLine="567"/>
    </w:pPr>
    <w:rPr>
      <w:sz w:val="24"/>
      <w:szCs w:val="20"/>
    </w:rPr>
  </w:style>
  <w:style w:type="paragraph" w:customStyle="1" w:styleId="47">
    <w:name w:val="正文内容"/>
    <w:basedOn w:val="1"/>
    <w:qFormat/>
    <w:uiPriority w:val="0"/>
    <w:pPr>
      <w:spacing w:line="360" w:lineRule="auto"/>
      <w:ind w:firstLine="200" w:firstLineChars="200"/>
    </w:pPr>
    <w:rPr>
      <w:sz w:val="24"/>
    </w:rPr>
  </w:style>
  <w:style w:type="paragraph" w:customStyle="1" w:styleId="48">
    <w:name w:val="表格文字2"/>
    <w:basedOn w:val="1"/>
    <w:qFormat/>
    <w:uiPriority w:val="0"/>
    <w:pPr>
      <w:tabs>
        <w:tab w:val="left" w:pos="277"/>
        <w:tab w:val="left" w:pos="600"/>
        <w:tab w:val="left" w:pos="780"/>
        <w:tab w:val="left" w:pos="2517"/>
      </w:tabs>
      <w:adjustRightInd w:val="0"/>
      <w:spacing w:before="60" w:after="60"/>
      <w:textAlignment w:val="baseline"/>
    </w:pPr>
    <w:rPr>
      <w:spacing w:val="5"/>
      <w:kern w:val="44"/>
    </w:rPr>
  </w:style>
  <w:style w:type="paragraph" w:customStyle="1" w:styleId="49">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50">
    <w:name w:val="报告表文字1"/>
    <w:qFormat/>
    <w:uiPriority w:val="0"/>
    <w:pPr>
      <w:jc w:val="center"/>
    </w:pPr>
    <w:rPr>
      <w:rFonts w:ascii="宋体" w:hAnsi="宋体" w:eastAsia="宋体" w:cs="Times New Roman"/>
      <w:kern w:val="0"/>
      <w:sz w:val="24"/>
      <w:szCs w:val="22"/>
      <w:lang w:val="en-US" w:eastAsia="zh-CN" w:bidi="ar-SA"/>
    </w:rPr>
  </w:style>
  <w:style w:type="paragraph" w:customStyle="1" w:styleId="51">
    <w:name w:val="首行缩进:  2 字符"/>
    <w:basedOn w:val="1"/>
    <w:qFormat/>
    <w:uiPriority w:val="0"/>
    <w:pPr>
      <w:spacing w:line="300" w:lineRule="auto"/>
      <w:ind w:firstLine="480" w:firstLineChars="200"/>
    </w:pPr>
    <w:rPr>
      <w:sz w:val="24"/>
    </w:rPr>
  </w:style>
  <w:style w:type="paragraph" w:customStyle="1" w:styleId="52">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样式 表头 + 段前: 0.5 行 段后: 0.5 行"/>
    <w:basedOn w:val="1"/>
    <w:qFormat/>
    <w:uiPriority w:val="0"/>
    <w:pPr>
      <w:autoSpaceDE w:val="0"/>
      <w:autoSpaceDN w:val="0"/>
      <w:adjustRightInd w:val="0"/>
      <w:spacing w:before="100" w:beforeAutospacing="1" w:after="100" w:afterAutospacing="1" w:line="480" w:lineRule="exact"/>
      <w:jc w:val="center"/>
    </w:pPr>
    <w:rPr>
      <w:rFonts w:cs="宋体"/>
      <w:lang w:val="zh-CN"/>
    </w:rPr>
  </w:style>
  <w:style w:type="paragraph" w:styleId="54">
    <w:name w:val="No Spacing"/>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55">
    <w:name w:val="表格正文"/>
    <w:basedOn w:val="1"/>
    <w:qFormat/>
    <w:uiPriority w:val="0"/>
    <w:pPr>
      <w:adjustRightInd w:val="0"/>
      <w:spacing w:line="300" w:lineRule="auto"/>
      <w:jc w:val="center"/>
      <w:textAlignment w:val="baseline"/>
    </w:pPr>
    <w:rPr>
      <w:szCs w:val="20"/>
    </w:rPr>
  </w:style>
  <w:style w:type="paragraph" w:customStyle="1" w:styleId="56">
    <w:name w:val="正文1"/>
    <w:basedOn w:val="1"/>
    <w:qFormat/>
    <w:uiPriority w:val="0"/>
    <w:pPr>
      <w:snapToGrid w:val="0"/>
      <w:spacing w:line="500" w:lineRule="atLeast"/>
      <w:ind w:firstLine="567"/>
    </w:pPr>
    <w:rPr>
      <w:sz w:val="28"/>
      <w:szCs w:val="20"/>
    </w:rPr>
  </w:style>
  <w:style w:type="paragraph" w:customStyle="1" w:styleId="57">
    <w:name w:val="报告正文"/>
    <w:basedOn w:val="1"/>
    <w:link w:val="69"/>
    <w:qFormat/>
    <w:uiPriority w:val="0"/>
    <w:pPr>
      <w:spacing w:line="440" w:lineRule="exact"/>
      <w:ind w:firstLine="200" w:firstLineChars="200"/>
      <w:jc w:val="left"/>
    </w:pPr>
    <w:rPr>
      <w:rFonts w:eastAsia="仿宋_GB2312"/>
      <w:sz w:val="24"/>
    </w:rPr>
  </w:style>
  <w:style w:type="paragraph" w:customStyle="1" w:styleId="58">
    <w:name w:val="正文首行缩进 2 + Times New Roman"/>
    <w:basedOn w:val="1"/>
    <w:link w:val="71"/>
    <w:qFormat/>
    <w:uiPriority w:val="0"/>
    <w:pPr>
      <w:tabs>
        <w:tab w:val="left" w:pos="0"/>
        <w:tab w:val="left" w:pos="3150"/>
      </w:tabs>
      <w:autoSpaceDE w:val="0"/>
      <w:autoSpaceDN w:val="0"/>
      <w:spacing w:line="324" w:lineRule="auto"/>
      <w:ind w:firstLine="480" w:firstLineChars="200"/>
      <w:jc w:val="left"/>
    </w:pPr>
    <w:rPr>
      <w:kern w:val="0"/>
      <w:sz w:val="24"/>
    </w:rPr>
  </w:style>
  <w:style w:type="paragraph" w:customStyle="1" w:styleId="59">
    <w:name w:val="1232123"/>
    <w:basedOn w:val="1"/>
    <w:qFormat/>
    <w:uiPriority w:val="0"/>
    <w:pPr>
      <w:autoSpaceDE w:val="0"/>
      <w:autoSpaceDN w:val="0"/>
      <w:adjustRightInd w:val="0"/>
      <w:jc w:val="center"/>
    </w:pPr>
    <w:rPr>
      <w:rFonts w:ascii="黑体" w:hAnsi="黑体" w:eastAsia="黑体"/>
      <w:b/>
      <w:kern w:val="0"/>
      <w:sz w:val="18"/>
      <w:szCs w:val="21"/>
    </w:rPr>
  </w:style>
  <w:style w:type="paragraph" w:customStyle="1" w:styleId="60">
    <w:name w:val="正文2 Char Char Char Char Char Char Char Char Char Char Char Char1 Char Char Char Char Char Char Char Char1 Char Char Char Char Char Char"/>
    <w:basedOn w:val="1"/>
    <w:qFormat/>
    <w:uiPriority w:val="0"/>
    <w:pPr>
      <w:widowControl/>
      <w:spacing w:line="400" w:lineRule="exact"/>
      <w:jc w:val="center"/>
    </w:pPr>
    <w:rPr>
      <w:szCs w:val="24"/>
    </w:rPr>
  </w:style>
  <w:style w:type="character" w:customStyle="1" w:styleId="61">
    <w:name w:val="标题 5 字符"/>
    <w:basedOn w:val="23"/>
    <w:link w:val="6"/>
    <w:qFormat/>
    <w:uiPriority w:val="0"/>
    <w:rPr>
      <w:rFonts w:ascii="Times New Roman" w:hAnsi="Times New Roman" w:eastAsia="宋体" w:cs="Times New Roman"/>
      <w:b/>
      <w:bCs/>
      <w:sz w:val="28"/>
      <w:szCs w:val="28"/>
    </w:rPr>
  </w:style>
  <w:style w:type="character" w:customStyle="1" w:styleId="62">
    <w:name w:val="Char Char1 Char"/>
    <w:link w:val="63"/>
    <w:qFormat/>
    <w:uiPriority w:val="0"/>
    <w:rPr>
      <w:rFonts w:ascii="宋体" w:hAnsi="宋体" w:eastAsia="宋体" w:cs="宋体"/>
      <w:sz w:val="24"/>
      <w:szCs w:val="24"/>
    </w:rPr>
  </w:style>
  <w:style w:type="paragraph" w:customStyle="1" w:styleId="63">
    <w:name w:val="Char Char1"/>
    <w:basedOn w:val="1"/>
    <w:link w:val="62"/>
    <w:qFormat/>
    <w:uiPriority w:val="0"/>
    <w:pPr>
      <w:spacing w:line="360" w:lineRule="auto"/>
      <w:ind w:firstLine="200" w:firstLineChars="200"/>
    </w:pPr>
    <w:rPr>
      <w:rFonts w:ascii="宋体" w:hAnsi="宋体" w:cs="宋体"/>
      <w:sz w:val="24"/>
      <w:szCs w:val="24"/>
    </w:rPr>
  </w:style>
  <w:style w:type="paragraph" w:customStyle="1" w:styleId="64">
    <w:name w:val="_Style 62"/>
    <w:basedOn w:val="1"/>
    <w:qFormat/>
    <w:uiPriority w:val="0"/>
    <w:pPr>
      <w:widowControl/>
      <w:spacing w:after="160" w:line="240" w:lineRule="exact"/>
      <w:jc w:val="left"/>
    </w:pPr>
    <w:rPr>
      <w:szCs w:val="24"/>
    </w:rPr>
  </w:style>
  <w:style w:type="paragraph" w:styleId="65">
    <w:name w:val="List Paragraph"/>
    <w:basedOn w:val="1"/>
    <w:qFormat/>
    <w:uiPriority w:val="0"/>
    <w:pPr>
      <w:ind w:firstLine="420" w:firstLineChars="200"/>
    </w:pPr>
  </w:style>
  <w:style w:type="character" w:customStyle="1" w:styleId="66">
    <w:name w:val="fcg"/>
    <w:basedOn w:val="23"/>
    <w:qFormat/>
    <w:uiPriority w:val="0"/>
  </w:style>
  <w:style w:type="paragraph" w:customStyle="1" w:styleId="67">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68">
    <w:name w:val="Char Char Char Char"/>
    <w:basedOn w:val="1"/>
    <w:qFormat/>
    <w:uiPriority w:val="0"/>
    <w:pPr>
      <w:spacing w:line="360" w:lineRule="auto"/>
      <w:ind w:firstLine="200" w:firstLineChars="200"/>
    </w:pPr>
    <w:rPr>
      <w:rFonts w:ascii="宋体" w:hAnsi="宋体" w:cs="宋体" w:eastAsiaTheme="minorEastAsia"/>
      <w:sz w:val="24"/>
    </w:rPr>
  </w:style>
  <w:style w:type="character" w:customStyle="1" w:styleId="69">
    <w:name w:val="报告正文 Char Char"/>
    <w:link w:val="57"/>
    <w:qFormat/>
    <w:uiPriority w:val="0"/>
    <w:rPr>
      <w:rFonts w:ascii="Times New Roman" w:hAnsi="Times New Roman" w:eastAsia="仿宋_GB2312" w:cs="Times New Roman"/>
      <w:sz w:val="24"/>
    </w:rPr>
  </w:style>
  <w:style w:type="character" w:customStyle="1" w:styleId="70">
    <w:name w:val="表格文字2 Char"/>
    <w:qFormat/>
    <w:locked/>
    <w:uiPriority w:val="0"/>
    <w:rPr>
      <w:rFonts w:eastAsia="宋体" w:cs="宋体"/>
      <w:spacing w:val="5"/>
      <w:sz w:val="21"/>
      <w:szCs w:val="21"/>
      <w:lang w:val="en-US" w:eastAsia="zh-CN" w:bidi="ar-SA"/>
    </w:rPr>
  </w:style>
  <w:style w:type="character" w:customStyle="1" w:styleId="71">
    <w:name w:val="正文首行缩进 2 + Times New Roman Char"/>
    <w:link w:val="58"/>
    <w:qFormat/>
    <w:locked/>
    <w:uiPriority w:val="0"/>
    <w:rPr>
      <w:rFonts w:ascii="Times New Roman" w:hAnsi="Times New Roman" w:eastAsia="宋体" w:cs="Times New Roman"/>
      <w:kern w:val="0"/>
      <w:sz w:val="24"/>
    </w:rPr>
  </w:style>
  <w:style w:type="paragraph" w:customStyle="1" w:styleId="72">
    <w:name w:val="列出段落1"/>
    <w:basedOn w:val="1"/>
    <w:qFormat/>
    <w:uiPriority w:val="0"/>
    <w:pPr>
      <w:ind w:firstLine="420" w:firstLineChars="200"/>
    </w:pPr>
  </w:style>
  <w:style w:type="paragraph" w:customStyle="1" w:styleId="73">
    <w:name w:val="表"/>
    <w:basedOn w:val="1"/>
    <w:qFormat/>
    <w:uiPriority w:val="0"/>
    <w:pPr>
      <w:snapToGrid w:val="0"/>
      <w:jc w:val="center"/>
    </w:pPr>
    <w:rPr>
      <w:spacing w:val="2"/>
      <w:sz w:val="24"/>
      <w:szCs w:val="20"/>
    </w:rPr>
  </w:style>
  <w:style w:type="paragraph" w:customStyle="1" w:styleId="74">
    <w:name w:val="表格1"/>
    <w:basedOn w:val="1"/>
    <w:qFormat/>
    <w:uiPriority w:val="0"/>
    <w:pPr>
      <w:adjustRightInd w:val="0"/>
      <w:spacing w:line="240" w:lineRule="auto"/>
      <w:ind w:firstLine="0" w:firstLineChars="0"/>
      <w:jc w:val="center"/>
      <w:textAlignment w:val="baseline"/>
    </w:pPr>
    <w:rPr>
      <w:rFonts w:cs="Times New Roman"/>
      <w:kern w:val="0"/>
      <w:sz w:val="21"/>
      <w:szCs w:val="21"/>
    </w:rPr>
  </w:style>
  <w:style w:type="character" w:customStyle="1" w:styleId="75">
    <w:name w:val="表格文字2 Char Char"/>
    <w:basedOn w:val="23"/>
    <w:uiPriority w:val="0"/>
    <w:rPr>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7299</Words>
  <Characters>8457</Characters>
  <Lines>108</Lines>
  <Paragraphs>30</Paragraphs>
  <TotalTime>2</TotalTime>
  <ScaleCrop>false</ScaleCrop>
  <LinksUpToDate>false</LinksUpToDate>
  <CharactersWithSpaces>8594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2018-05-29T19:22:00Z</dcterms:created>
  <dc:creator>邵 剑明</dc:creator>
  <cp:lastModifiedBy>Kevin王二一</cp:lastModifiedBy>
  <cp:lastPrinted>2022-01-20T15:37:00Z</cp:lastPrinted>
  <dcterms:modified xsi:type="dcterms:W3CDTF">2022-08-25T09:14:55Z</dcterms:modified>
  <cp:revision>504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7DE76097845F493A89E502BB3FBD4E45</vt:lpwstr>
  </property>
</Properties>
</file>